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295E2" w14:textId="09CAF00C" w:rsidR="00A43F19" w:rsidRDefault="00C671AF" w:rsidP="568FBF53">
      <w:r>
        <w:rPr>
          <w:noProof/>
          <w:lang w:val="en-US"/>
        </w:rPr>
        <w:drawing>
          <wp:anchor distT="0" distB="0" distL="114300" distR="114300" simplePos="0" relativeHeight="251658240" behindDoc="1" locked="0" layoutInCell="1" allowOverlap="1" wp14:anchorId="3B336A75" wp14:editId="58262881">
            <wp:simplePos x="0" y="0"/>
            <wp:positionH relativeFrom="column">
              <wp:posOffset>0</wp:posOffset>
            </wp:positionH>
            <wp:positionV relativeFrom="page">
              <wp:posOffset>393192</wp:posOffset>
            </wp:positionV>
            <wp:extent cx="5731510" cy="749935"/>
            <wp:effectExtent l="0" t="0" r="0" b="0"/>
            <wp:wrapNone/>
            <wp:docPr id="4" name="Picture 4"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31510" cy="749935"/>
                    </a:xfrm>
                    <a:prstGeom prst="rect">
                      <a:avLst/>
                    </a:prstGeom>
                  </pic:spPr>
                </pic:pic>
              </a:graphicData>
            </a:graphic>
            <wp14:sizeRelH relativeFrom="page">
              <wp14:pctWidth>0</wp14:pctWidth>
            </wp14:sizeRelH>
            <wp14:sizeRelV relativeFrom="page">
              <wp14:pctHeight>0</wp14:pctHeight>
            </wp14:sizeRelV>
          </wp:anchor>
        </w:drawing>
      </w:r>
    </w:p>
    <w:p w14:paraId="23A83056" w14:textId="190F5155" w:rsidR="00A43F19" w:rsidRDefault="00A43F19" w:rsidP="568FBF53"/>
    <w:p w14:paraId="3A103433" w14:textId="419C18F8" w:rsidR="00A43F19" w:rsidRDefault="00A43F19" w:rsidP="568FBF53"/>
    <w:p w14:paraId="51D40A8F" w14:textId="08729597" w:rsidR="00A43F19" w:rsidRDefault="00BD2B7A" w:rsidP="568FBF53">
      <w:r w:rsidRPr="00DA2EB8">
        <w:rPr>
          <w:noProof/>
          <w:color w:val="DBEFF1" w:themeColor="accent4" w:themeTint="33"/>
          <w:lang w:val="en-US"/>
        </w:rPr>
        <mc:AlternateContent>
          <mc:Choice Requires="wps">
            <w:drawing>
              <wp:anchor distT="0" distB="0" distL="114300" distR="114300" simplePos="0" relativeHeight="251657215" behindDoc="1" locked="0" layoutInCell="1" allowOverlap="1" wp14:anchorId="2ED365B1" wp14:editId="1C6D17E3">
                <wp:simplePos x="0" y="0"/>
                <wp:positionH relativeFrom="column">
                  <wp:posOffset>-952500</wp:posOffset>
                </wp:positionH>
                <wp:positionV relativeFrom="paragraph">
                  <wp:posOffset>203835</wp:posOffset>
                </wp:positionV>
                <wp:extent cx="7594600" cy="8978900"/>
                <wp:effectExtent l="0" t="0" r="0" b="0"/>
                <wp:wrapNone/>
                <wp:docPr id="6" name="Rectangle 6"/>
                <wp:cNvGraphicFramePr/>
                <a:graphic xmlns:a="http://schemas.openxmlformats.org/drawingml/2006/main">
                  <a:graphicData uri="http://schemas.microsoft.com/office/word/2010/wordprocessingShape">
                    <wps:wsp>
                      <wps:cNvSpPr/>
                      <wps:spPr>
                        <a:xfrm>
                          <a:off x="0" y="0"/>
                          <a:ext cx="7594600" cy="8978900"/>
                        </a:xfrm>
                        <a:prstGeom prst="rect">
                          <a:avLst/>
                        </a:prstGeom>
                        <a:solidFill>
                          <a:schemeClr val="accent4">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B7E887" id="Rectangle 6" o:spid="_x0000_s1026" style="position:absolute;margin-left:-75pt;margin-top:16.05pt;width:598pt;height:707pt;z-index:-251659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" fillcolor="#dbeff1 [663]" stroked="f" strokeweight="1pt"/>
            </w:pict>
          </mc:Fallback>
        </mc:AlternateContent>
      </w:r>
    </w:p>
    <w:p w14:paraId="530F47ED" w14:textId="224F2849" w:rsidR="005410E9" w:rsidRDefault="005410E9" w:rsidP="568FBF53">
      <w:pPr>
        <w:rPr>
          <w:b/>
          <w:bCs/>
          <w:sz w:val="144"/>
          <w:szCs w:val="144"/>
        </w:rPr>
      </w:pPr>
    </w:p>
    <w:p w14:paraId="2C5FA821" w14:textId="18CE2A47" w:rsidR="00235F7A" w:rsidRDefault="00235F7A" w:rsidP="568FBF53">
      <w:pPr>
        <w:rPr>
          <w:b/>
          <w:bCs/>
          <w:color w:val="194869" w:themeColor="accent1"/>
          <w:sz w:val="96"/>
          <w:szCs w:val="96"/>
        </w:rPr>
      </w:pPr>
    </w:p>
    <w:p w14:paraId="5E986F59" w14:textId="4928BBBD" w:rsidR="00235F7A" w:rsidRDefault="00235F7A" w:rsidP="568FBF53">
      <w:pPr>
        <w:rPr>
          <w:b/>
          <w:bCs/>
          <w:color w:val="194869" w:themeColor="accent1"/>
          <w:sz w:val="96"/>
          <w:szCs w:val="96"/>
        </w:rPr>
      </w:pPr>
    </w:p>
    <w:p w14:paraId="78BD709E" w14:textId="3D2E9624" w:rsidR="00235F7A" w:rsidRDefault="00235F7A" w:rsidP="568FBF53">
      <w:pPr>
        <w:rPr>
          <w:b/>
          <w:bCs/>
          <w:color w:val="194869" w:themeColor="accent1"/>
          <w:sz w:val="96"/>
          <w:szCs w:val="96"/>
        </w:rPr>
      </w:pPr>
    </w:p>
    <w:p w14:paraId="1FA904AE" w14:textId="7B51D9D7" w:rsidR="00235F7A" w:rsidRDefault="00235F7A" w:rsidP="568FBF53">
      <w:pPr>
        <w:rPr>
          <w:b/>
          <w:bCs/>
          <w:color w:val="194869" w:themeColor="accent1"/>
          <w:sz w:val="96"/>
          <w:szCs w:val="96"/>
        </w:rPr>
      </w:pPr>
    </w:p>
    <w:p w14:paraId="6857F9E3" w14:textId="77777777" w:rsidR="004646E9" w:rsidRPr="004646E9" w:rsidRDefault="004646E9" w:rsidP="568FBF53">
      <w:pPr>
        <w:rPr>
          <w:b/>
          <w:bCs/>
          <w:color w:val="194869" w:themeColor="accent1"/>
          <w:sz w:val="72"/>
          <w:szCs w:val="72"/>
        </w:rPr>
      </w:pPr>
      <w:r w:rsidRPr="568FBF53">
        <w:rPr>
          <w:b/>
          <w:bCs/>
          <w:color w:val="194869" w:themeColor="accent1"/>
          <w:sz w:val="72"/>
          <w:szCs w:val="72"/>
        </w:rPr>
        <w:t>SDG INDICATOR 6.5.1: MONITORING GUIDE</w:t>
      </w:r>
    </w:p>
    <w:p w14:paraId="56FE72EA" w14:textId="2C5B6856" w:rsidR="00A43F19" w:rsidRPr="004646E9" w:rsidRDefault="004646E9" w:rsidP="568FBF53">
      <w:pPr>
        <w:rPr>
          <w:color w:val="FFFFFF" w:themeColor="background1"/>
          <w:sz w:val="18"/>
          <w:szCs w:val="18"/>
        </w:rPr>
      </w:pPr>
      <w:r w:rsidRPr="568FBF53">
        <w:rPr>
          <w:b/>
          <w:bCs/>
          <w:color w:val="20A6CA" w:themeColor="accent2"/>
          <w:sz w:val="48"/>
          <w:szCs w:val="48"/>
        </w:rPr>
        <w:t>DEGREE OF INTEGRATED WATER RESOURCES MANAGEMENT (IWRM) IMPLEMENTATION</w:t>
      </w:r>
    </w:p>
    <w:p w14:paraId="062C7CED" w14:textId="3FDAF0D7" w:rsidR="00844946" w:rsidRPr="000753E2" w:rsidRDefault="00844946" w:rsidP="568FBF53">
      <w:pPr>
        <w:rPr>
          <w:color w:val="FFFFFF" w:themeColor="background1"/>
          <w:sz w:val="28"/>
          <w:szCs w:val="28"/>
        </w:rPr>
      </w:pPr>
    </w:p>
    <w:p w14:paraId="5A8BF614" w14:textId="1A6D36AC" w:rsidR="00844946" w:rsidRPr="000753E2" w:rsidRDefault="00844946" w:rsidP="568FBF53">
      <w:pPr>
        <w:rPr>
          <w:color w:val="FFFFFF" w:themeColor="background1"/>
          <w:sz w:val="28"/>
          <w:szCs w:val="28"/>
        </w:rPr>
      </w:pPr>
    </w:p>
    <w:p w14:paraId="55F545EF" w14:textId="3277EFF5" w:rsidR="00A43F19" w:rsidRDefault="00A43F19" w:rsidP="568FBF53">
      <w:pPr>
        <w:rPr>
          <w:color w:val="4698D3" w:themeColor="accent1" w:themeTint="99"/>
          <w:sz w:val="28"/>
          <w:szCs w:val="28"/>
        </w:rPr>
      </w:pPr>
    </w:p>
    <w:p w14:paraId="71EAD197" w14:textId="1573F2C8" w:rsidR="00B0219D" w:rsidRDefault="00B0219D" w:rsidP="568FBF53">
      <w:pPr>
        <w:rPr>
          <w:color w:val="4698D3" w:themeColor="accent1" w:themeTint="99"/>
          <w:sz w:val="28"/>
          <w:szCs w:val="28"/>
        </w:rPr>
      </w:pPr>
    </w:p>
    <w:p w14:paraId="7E665D9F" w14:textId="617DBA9D" w:rsidR="00B0219D" w:rsidRDefault="00B0219D" w:rsidP="568FBF53">
      <w:pPr>
        <w:rPr>
          <w:color w:val="4698D3" w:themeColor="accent1" w:themeTint="99"/>
          <w:sz w:val="28"/>
          <w:szCs w:val="28"/>
        </w:rPr>
      </w:pPr>
    </w:p>
    <w:p w14:paraId="5806E812" w14:textId="51C94C10" w:rsidR="009819C7" w:rsidRPr="00235F7A" w:rsidRDefault="009819C7" w:rsidP="568FBF53">
      <w:pPr>
        <w:rPr>
          <w:color w:val="4698D3" w:themeColor="accent1" w:themeTint="99"/>
          <w:sz w:val="28"/>
          <w:szCs w:val="28"/>
        </w:rPr>
      </w:pPr>
      <w:r w:rsidRPr="568FBF53">
        <w:rPr>
          <w:sz w:val="52"/>
          <w:szCs w:val="52"/>
        </w:rPr>
        <w:br w:type="page"/>
      </w:r>
    </w:p>
    <w:p w14:paraId="0BBEE21F" w14:textId="64C811DB" w:rsidR="00970943" w:rsidRDefault="005550D4" w:rsidP="568FBF53">
      <w:pPr>
        <w:pStyle w:val="Body"/>
        <w:jc w:val="both"/>
        <w:rPr>
          <w:lang w:val="en-GB"/>
        </w:rPr>
      </w:pPr>
      <w:r w:rsidRPr="568FBF53">
        <w:rPr>
          <w:lang w:val="en-GB"/>
        </w:rPr>
        <w:lastRenderedPageBreak/>
        <w:t xml:space="preserve">This guide provides an overview of the processes for completing and submitting the SDG indicator </w:t>
      </w:r>
      <w:hyperlink r:id="rId12">
        <w:r w:rsidRPr="568FBF53">
          <w:rPr>
            <w:rStyle w:val="Hyperlink"/>
            <w:lang w:val="en-GB"/>
          </w:rPr>
          <w:t>6.5.1 survey</w:t>
        </w:r>
      </w:hyperlink>
      <w:r w:rsidRPr="568FBF53">
        <w:rPr>
          <w:lang w:val="en-GB"/>
        </w:rPr>
        <w:t xml:space="preserve"> (2023 version). This guide should be read by all SDG indicator 6.5.1 Focal Points. The survey and this monitoring guide are </w:t>
      </w:r>
      <w:hyperlink r:id="rId13">
        <w:r w:rsidRPr="568FBF53">
          <w:rPr>
            <w:rStyle w:val="Hyperlink"/>
            <w:lang w:val="en-GB"/>
          </w:rPr>
          <w:t>available</w:t>
        </w:r>
      </w:hyperlink>
      <w:r w:rsidRPr="568FBF53">
        <w:rPr>
          <w:lang w:val="en-GB"/>
        </w:rPr>
        <w:t xml:space="preserve"> in English, French, Spanish, Arabic, Portuguese, Russian, and Chinese. Additional (optional) supporting materials are referenced from the text, and a summary table of these can be found in </w:t>
      </w:r>
      <w:hyperlink w:anchor="_ANNEX_1:_SUMMARY">
        <w:r w:rsidRPr="007E70AF">
          <w:rPr>
            <w:rStyle w:val="Hyperlink"/>
            <w:lang w:val="en-GB"/>
          </w:rPr>
          <w:t>Annex 1</w:t>
        </w:r>
      </w:hyperlink>
      <w:r w:rsidRPr="568FBF53">
        <w:rPr>
          <w:lang w:val="en-GB"/>
        </w:rPr>
        <w:t xml:space="preserve">. All materials are available from the </w:t>
      </w:r>
      <w:hyperlink r:id="rId14">
        <w:r w:rsidRPr="568FBF53">
          <w:rPr>
            <w:rStyle w:val="Hyperlink"/>
            <w:lang w:val="en-GB"/>
          </w:rPr>
          <w:t>IWRM Data Portal</w:t>
        </w:r>
      </w:hyperlink>
      <w:r w:rsidR="004646E9" w:rsidRPr="568FBF53">
        <w:rPr>
          <w:lang w:val="en-GB"/>
        </w:rPr>
        <w:t>.</w:t>
      </w:r>
    </w:p>
    <w:p w14:paraId="38F10606" w14:textId="2791060F" w:rsidR="004646E9" w:rsidRDefault="00970943" w:rsidP="568FBF53">
      <w:pPr>
        <w:pStyle w:val="Heading1"/>
        <w:numPr>
          <w:ilvl w:val="0"/>
          <w:numId w:val="21"/>
        </w:numPr>
      </w:pPr>
      <w:r w:rsidRPr="568FBF53">
        <w:t xml:space="preserve"> </w:t>
      </w:r>
      <w:r w:rsidR="004646E9" w:rsidRPr="568FBF53">
        <w:t>ROLES AND RESPONSIBILITIES: FOCAL POINTS</w:t>
      </w:r>
    </w:p>
    <w:p w14:paraId="3700A229" w14:textId="6114E360" w:rsidR="004646E9" w:rsidRPr="004303E9" w:rsidRDefault="005550D4" w:rsidP="005550D4">
      <w:pPr>
        <w:pStyle w:val="Body"/>
        <w:jc w:val="both"/>
        <w:rPr>
          <w:b/>
          <w:bCs/>
          <w:lang w:val="en-GB"/>
        </w:rPr>
      </w:pPr>
      <w:r w:rsidRPr="004303E9">
        <w:rPr>
          <w:lang w:val="en-GB"/>
        </w:rPr>
        <w:t>The SDG indicator 6.5.1 Focal Point has overall responsibility for coordinating the monitoring process, including stakeholder consultation (see section 5), and submitting draft and final surveys to the United Nations Environment Programme (UNEP), as the custodian agency for the indicator (see section 6). In most countries, Focal Points are affiliated with the ministry responsible for water resources management, although sometimes they are from the National Statistical Office (NSO).</w:t>
      </w:r>
      <w:r w:rsidRPr="568FBF53">
        <w:rPr>
          <w:rStyle w:val="FootnoteReference"/>
          <w:lang w:val="en-GB"/>
        </w:rPr>
        <w:footnoteReference w:id="1"/>
      </w:r>
      <w:r w:rsidRPr="004303E9">
        <w:rPr>
          <w:lang w:val="en-GB"/>
        </w:rPr>
        <w:t xml:space="preserve"> In such cases, it is highly recommended that a ‘supporting’ Focal Point is nominated that is affiliated with the ministry for water resources (or similar). The Focal Point will likely work with colleagues in an ‘indicator team</w:t>
      </w:r>
      <w:proofErr w:type="gramStart"/>
      <w:r w:rsidRPr="004303E9">
        <w:rPr>
          <w:lang w:val="en-GB"/>
        </w:rPr>
        <w:t>’, and</w:t>
      </w:r>
      <w:proofErr w:type="gramEnd"/>
      <w:r w:rsidRPr="004303E9">
        <w:rPr>
          <w:lang w:val="en-GB"/>
        </w:rPr>
        <w:t xml:space="preserve"> may engage or appoint a ‘facilitator’ to run consultation processes (see section 5)</w:t>
      </w:r>
      <w:r w:rsidR="004646E9" w:rsidRPr="004303E9">
        <w:rPr>
          <w:lang w:val="en-GB"/>
        </w:rPr>
        <w:t xml:space="preserve">. </w:t>
      </w:r>
    </w:p>
    <w:p w14:paraId="12D9A771" w14:textId="2ACA2242" w:rsidR="004646E9" w:rsidRDefault="00970943" w:rsidP="568FBF53">
      <w:pPr>
        <w:pStyle w:val="Heading1"/>
        <w:numPr>
          <w:ilvl w:val="0"/>
          <w:numId w:val="21"/>
        </w:numPr>
      </w:pPr>
      <w:r w:rsidRPr="568FBF53">
        <w:t xml:space="preserve"> </w:t>
      </w:r>
      <w:r w:rsidR="004646E9" w:rsidRPr="568FBF53">
        <w:t>AVAILABLE SUPPORT</w:t>
      </w:r>
    </w:p>
    <w:p w14:paraId="295DEEC5" w14:textId="2F03F290" w:rsidR="005550D4" w:rsidRPr="004303E9" w:rsidRDefault="005550D4" w:rsidP="005550D4">
      <w:pPr>
        <w:pStyle w:val="Body"/>
        <w:jc w:val="both"/>
        <w:rPr>
          <w:lang w:val="en-GB"/>
        </w:rPr>
      </w:pPr>
      <w:r w:rsidRPr="568FBF53">
        <w:rPr>
          <w:lang w:val="en-GB"/>
        </w:rPr>
        <w:t xml:space="preserve">Most countries are expected to have the capacity to complete and submit the </w:t>
      </w:r>
      <w:hyperlink r:id="rId15">
        <w:r w:rsidRPr="568FBF53">
          <w:rPr>
            <w:rStyle w:val="Hyperlink"/>
            <w:lang w:val="en-GB"/>
          </w:rPr>
          <w:t>6.5.1 survey</w:t>
        </w:r>
      </w:hyperlink>
      <w:r w:rsidRPr="568FBF53">
        <w:rPr>
          <w:lang w:val="en-GB"/>
        </w:rPr>
        <w:t xml:space="preserve">, drawing on the available supporting materials (see Annex 1), as needed. In addition, any queries can be directed to the SDG 6.5.1 IWRM Help Desk, hosted by UNEP, at </w:t>
      </w:r>
      <w:hyperlink r:id="rId16">
        <w:r w:rsidRPr="568FBF53">
          <w:rPr>
            <w:rStyle w:val="Hyperlink"/>
            <w:lang w:val="en-GB"/>
          </w:rPr>
          <w:t>iwrmsdg651@un.org</w:t>
        </w:r>
      </w:hyperlink>
      <w:r w:rsidRPr="568FBF53">
        <w:rPr>
          <w:lang w:val="en-GB"/>
        </w:rPr>
        <w:t xml:space="preserve">. </w:t>
      </w:r>
    </w:p>
    <w:p w14:paraId="59339051" w14:textId="139DB198" w:rsidR="00A94D28" w:rsidRPr="004303E9" w:rsidRDefault="005550D4" w:rsidP="005550D4">
      <w:pPr>
        <w:pStyle w:val="Body"/>
        <w:jc w:val="both"/>
        <w:rPr>
          <w:lang w:val="en-GB"/>
        </w:rPr>
      </w:pPr>
      <w:r w:rsidRPr="568FBF53">
        <w:rPr>
          <w:lang w:val="en-GB"/>
        </w:rPr>
        <w:t xml:space="preserve">Countries wishing to apply for further technical and financial assistance to complete the survey through the </w:t>
      </w:r>
      <w:hyperlink r:id="rId17">
        <w:r w:rsidRPr="568FBF53">
          <w:rPr>
            <w:rStyle w:val="Hyperlink"/>
            <w:lang w:val="en-GB"/>
          </w:rPr>
          <w:t>SDG 6 IWRM Support Programme</w:t>
        </w:r>
      </w:hyperlink>
      <w:r w:rsidRPr="568FBF53">
        <w:rPr>
          <w:lang w:val="en-GB"/>
        </w:rPr>
        <w:t xml:space="preserve">, can express their interest via the Help Desk and </w:t>
      </w:r>
      <w:hyperlink r:id="rId18">
        <w:r w:rsidRPr="568FBF53">
          <w:rPr>
            <w:rStyle w:val="Hyperlink"/>
            <w:lang w:val="en-GB"/>
          </w:rPr>
          <w:t>sdg6iwrmsp@gwp.org</w:t>
        </w:r>
      </w:hyperlink>
      <w:r w:rsidRPr="568FBF53">
        <w:rPr>
          <w:lang w:val="en-GB"/>
        </w:rPr>
        <w:t xml:space="preserve">. The Support Programme has so far supported over </w:t>
      </w:r>
      <w:hyperlink r:id="rId19">
        <w:r w:rsidRPr="568FBF53">
          <w:rPr>
            <w:rStyle w:val="Hyperlink"/>
            <w:lang w:val="en-GB"/>
          </w:rPr>
          <w:t>70 countries</w:t>
        </w:r>
      </w:hyperlink>
      <w:r w:rsidRPr="568FBF53">
        <w:rPr>
          <w:lang w:val="en-GB"/>
        </w:rPr>
        <w:t xml:space="preserve"> to strengthen their stakeholder consultation processes for reporting on indicator 6.5.1</w:t>
      </w:r>
      <w:r w:rsidR="008B4AB1" w:rsidRPr="568FBF53">
        <w:rPr>
          <w:lang w:val="en-GB"/>
        </w:rPr>
        <w:t>.</w:t>
      </w:r>
    </w:p>
    <w:p w14:paraId="4094951A" w14:textId="39BD35EA" w:rsidR="004646E9" w:rsidRDefault="00970943" w:rsidP="568FBF53">
      <w:pPr>
        <w:pStyle w:val="Heading1"/>
        <w:numPr>
          <w:ilvl w:val="0"/>
          <w:numId w:val="21"/>
        </w:numPr>
      </w:pPr>
      <w:r w:rsidRPr="568FBF53">
        <w:t xml:space="preserve"> </w:t>
      </w:r>
      <w:r w:rsidR="004646E9" w:rsidRPr="568FBF53">
        <w:t>BUILDING ON PREVIOUS REPORTING ROUNDS</w:t>
      </w:r>
    </w:p>
    <w:p w14:paraId="5310D09D" w14:textId="2FC449A1" w:rsidR="008B4AB1" w:rsidRPr="004303E9" w:rsidRDefault="00970943" w:rsidP="00970943">
      <w:pPr>
        <w:pStyle w:val="Body"/>
        <w:jc w:val="both"/>
        <w:rPr>
          <w:lang w:val="en-GB"/>
        </w:rPr>
      </w:pPr>
      <w:r w:rsidRPr="568FBF53">
        <w:rPr>
          <w:lang w:val="en-GB"/>
        </w:rPr>
        <w:t xml:space="preserve">186 countries have submitted SDG 6.5.1 surveys across 2017 and 2020, which can be downloaded </w:t>
      </w:r>
      <w:hyperlink r:id="rId20">
        <w:r w:rsidRPr="568FBF53">
          <w:rPr>
            <w:rStyle w:val="Hyperlink"/>
            <w:lang w:val="en-GB"/>
          </w:rPr>
          <w:t>here</w:t>
        </w:r>
      </w:hyperlink>
      <w:r w:rsidRPr="568FBF53">
        <w:rPr>
          <w:lang w:val="en-GB"/>
        </w:rPr>
        <w:t xml:space="preserve">. During the 2023 reporting round, Focal Points and colleagues are encouraged to build on previous submissions. Word versions of previous country surveys are available on request through the Help Desk. A list of minor differences between the 2023 survey and previous surveys can be found in </w:t>
      </w:r>
      <w:hyperlink w:anchor="_ANNEX_2:_DIFFERENCES">
        <w:r w:rsidRPr="007E70AF">
          <w:rPr>
            <w:rStyle w:val="Hyperlink"/>
            <w:lang w:val="en-GB"/>
          </w:rPr>
          <w:t>Annex 2</w:t>
        </w:r>
      </w:hyperlink>
      <w:r w:rsidR="008B4AB1" w:rsidRPr="568FBF53">
        <w:rPr>
          <w:lang w:val="en-GB"/>
        </w:rPr>
        <w:t>.</w:t>
      </w:r>
    </w:p>
    <w:p w14:paraId="71621035" w14:textId="3853D9BB" w:rsidR="568FBF53" w:rsidRDefault="568FBF53" w:rsidP="568FBF53">
      <w:pPr>
        <w:pStyle w:val="Body"/>
        <w:jc w:val="both"/>
        <w:rPr>
          <w:lang w:val="en-GB"/>
        </w:rPr>
      </w:pPr>
    </w:p>
    <w:p w14:paraId="60C777BD" w14:textId="17DAA373" w:rsidR="004646E9" w:rsidRDefault="00970943" w:rsidP="568FBF53">
      <w:pPr>
        <w:pStyle w:val="Heading1"/>
        <w:numPr>
          <w:ilvl w:val="0"/>
          <w:numId w:val="21"/>
        </w:numPr>
      </w:pPr>
      <w:r w:rsidRPr="568FBF53">
        <w:lastRenderedPageBreak/>
        <w:t xml:space="preserve"> </w:t>
      </w:r>
      <w:r w:rsidR="004646E9" w:rsidRPr="568FBF53">
        <w:t>COORDINATION ACROSS SDG 6 AND WATER-RELATED TARGETS AND INDICATORS</w:t>
      </w:r>
    </w:p>
    <w:p w14:paraId="6E068268" w14:textId="6B714671" w:rsidR="004F4F46" w:rsidRPr="004303E9" w:rsidRDefault="00970943" w:rsidP="00970943">
      <w:pPr>
        <w:pStyle w:val="Body"/>
        <w:jc w:val="both"/>
        <w:rPr>
          <w:lang w:val="en-GB"/>
        </w:rPr>
      </w:pPr>
      <w:r w:rsidRPr="568FBF53">
        <w:rPr>
          <w:lang w:val="en-GB"/>
        </w:rPr>
        <w:t>As various questions in the 6.5.1 survey relate to different aspects of water resources use and management, it is preferable that Focal Points responsible for other SDG 6 indicators, and other water-related indicators, are given the opportunity to participate in completing the survey. Reporting on all SDG 6 indicators is coordinated by UN-Water through the Integrated Monitoring Initiative for SDG 6 (</w:t>
      </w:r>
      <w:hyperlink r:id="rId21">
        <w:r w:rsidRPr="568FBF53">
          <w:rPr>
            <w:rStyle w:val="Hyperlink"/>
            <w:lang w:val="en-GB"/>
          </w:rPr>
          <w:t>IMI-SDG6</w:t>
        </w:r>
      </w:hyperlink>
      <w:r w:rsidRPr="568FBF53">
        <w:rPr>
          <w:lang w:val="en-GB"/>
        </w:rPr>
        <w:t xml:space="preserve">). Under the initiative, most countries have “Overall Focal Points” (OFPs) for SDG 6, and “Technical Focal Points” (TFPs) for each indicator. Contact details of OFPs and TFPs are available on request through the </w:t>
      </w:r>
      <w:hyperlink r:id="rId22">
        <w:r w:rsidRPr="568FBF53">
          <w:rPr>
            <w:rStyle w:val="Hyperlink"/>
            <w:lang w:val="en-GB"/>
          </w:rPr>
          <w:t>Help Desk</w:t>
        </w:r>
      </w:hyperlink>
      <w:r w:rsidRPr="568FBF53">
        <w:rPr>
          <w:lang w:val="en-GB"/>
        </w:rPr>
        <w:t xml:space="preserve">. A list of which survey questions are particularly related to other SDG indicators is provided in </w:t>
      </w:r>
      <w:hyperlink w:anchor="_ANNEX_3:_6.5.1">
        <w:r w:rsidRPr="007E70AF">
          <w:rPr>
            <w:rStyle w:val="Hyperlink"/>
            <w:lang w:val="en-GB"/>
          </w:rPr>
          <w:t>Annex 3</w:t>
        </w:r>
      </w:hyperlink>
      <w:r w:rsidR="008B4AB1" w:rsidRPr="568FBF53">
        <w:rPr>
          <w:lang w:val="en-GB"/>
        </w:rPr>
        <w:t>.</w:t>
      </w:r>
    </w:p>
    <w:p w14:paraId="05EBFDD5" w14:textId="38510932" w:rsidR="00970943" w:rsidRDefault="00970943" w:rsidP="568FBF53">
      <w:pPr>
        <w:pStyle w:val="Heading1"/>
        <w:numPr>
          <w:ilvl w:val="0"/>
          <w:numId w:val="21"/>
        </w:numPr>
      </w:pPr>
      <w:r w:rsidRPr="568FBF53">
        <w:t xml:space="preserve"> CONSULTATION PROCESS</w:t>
      </w:r>
    </w:p>
    <w:p w14:paraId="7158D3EE" w14:textId="77777777" w:rsidR="00795FFC" w:rsidRPr="00795FFC" w:rsidRDefault="00795FFC" w:rsidP="568FBF53">
      <w:pPr>
        <w:pStyle w:val="Body"/>
        <w:jc w:val="both"/>
        <w:rPr>
          <w:lang w:val="en-GB"/>
        </w:rPr>
      </w:pPr>
      <w:r w:rsidRPr="568FBF53">
        <w:rPr>
          <w:lang w:val="en-GB"/>
        </w:rPr>
        <w:t xml:space="preserve">A broad stakeholder engagement process to complete the survey is strongly encouraged. This helps to ensure a robust and accurate report. Experience from previous rounds tells us that countries have found the consultation process useful in developing a shared understanding of key issues and priorities among various stakeholders. Broad stakeholder engagement also makes the completed survey a more useful diagnostic tool for further discussions and planning (see section 7). Considerations in the stakeholder consultation process include: </w:t>
      </w:r>
    </w:p>
    <w:p w14:paraId="77C74E97" w14:textId="77777777" w:rsidR="00795FFC" w:rsidRPr="00795FFC" w:rsidRDefault="00795FFC" w:rsidP="568FBF53">
      <w:pPr>
        <w:pStyle w:val="Body"/>
        <w:numPr>
          <w:ilvl w:val="0"/>
          <w:numId w:val="23"/>
        </w:numPr>
        <w:jc w:val="both"/>
        <w:rPr>
          <w:lang w:val="en-GB"/>
        </w:rPr>
      </w:pPr>
      <w:r w:rsidRPr="568FBF53">
        <w:rPr>
          <w:lang w:val="en-GB"/>
        </w:rPr>
        <w:t xml:space="preserve">Stakeholder groups: government and non-government stakeholders across relevant sectors and levels. Potentially varying levels of engagement with different groups. </w:t>
      </w:r>
    </w:p>
    <w:p w14:paraId="341EDDE2" w14:textId="77777777" w:rsidR="00795FFC" w:rsidRPr="00795FFC" w:rsidRDefault="00795FFC" w:rsidP="0098576D">
      <w:pPr>
        <w:pStyle w:val="Body"/>
        <w:numPr>
          <w:ilvl w:val="0"/>
          <w:numId w:val="23"/>
        </w:numPr>
        <w:jc w:val="both"/>
        <w:rPr>
          <w:lang w:val="en-GB"/>
        </w:rPr>
      </w:pPr>
      <w:r w:rsidRPr="568FBF53">
        <w:rPr>
          <w:lang w:val="en-GB"/>
        </w:rPr>
        <w:t>Sequencing: in series, in parallel, or most likely a blend of both.</w:t>
      </w:r>
    </w:p>
    <w:p w14:paraId="1F32F7A7" w14:textId="77777777" w:rsidR="00795FFC" w:rsidRPr="00795FFC" w:rsidRDefault="00795FFC" w:rsidP="0098576D">
      <w:pPr>
        <w:pStyle w:val="Body"/>
        <w:numPr>
          <w:ilvl w:val="0"/>
          <w:numId w:val="23"/>
        </w:numPr>
        <w:jc w:val="both"/>
        <w:rPr>
          <w:lang w:val="en-GB"/>
        </w:rPr>
      </w:pPr>
      <w:r w:rsidRPr="568FBF53">
        <w:rPr>
          <w:lang w:val="en-GB"/>
        </w:rPr>
        <w:t xml:space="preserve">Format: in-person, online, or a blend of both. </w:t>
      </w:r>
    </w:p>
    <w:p w14:paraId="01537F43" w14:textId="77777777" w:rsidR="00795FFC" w:rsidRPr="00795FFC" w:rsidRDefault="00795FFC" w:rsidP="0098576D">
      <w:pPr>
        <w:pStyle w:val="Body"/>
        <w:numPr>
          <w:ilvl w:val="0"/>
          <w:numId w:val="23"/>
        </w:numPr>
        <w:jc w:val="both"/>
        <w:rPr>
          <w:lang w:val="en-GB"/>
        </w:rPr>
      </w:pPr>
      <w:r w:rsidRPr="568FBF53">
        <w:rPr>
          <w:lang w:val="en-GB"/>
        </w:rPr>
        <w:t xml:space="preserve">Best practices: how to make the consultation process inclusive, fair, consensus-based, and transparent. </w:t>
      </w:r>
    </w:p>
    <w:p w14:paraId="29764F50" w14:textId="69C05DBB" w:rsidR="00847689" w:rsidRDefault="00795FFC" w:rsidP="008F0647">
      <w:pPr>
        <w:pStyle w:val="Body"/>
        <w:jc w:val="both"/>
        <w:rPr>
          <w:lang w:val="en-GB"/>
        </w:rPr>
      </w:pPr>
      <w:r w:rsidRPr="568FBF53">
        <w:rPr>
          <w:lang w:val="en-GB"/>
        </w:rPr>
        <w:t xml:space="preserve">Further information and guidance are provided in the </w:t>
      </w:r>
      <w:hyperlink r:id="rId23" w:history="1">
        <w:r w:rsidRPr="00EC3F5E">
          <w:rPr>
            <w:rStyle w:val="Hyperlink"/>
            <w:lang w:val="en-GB"/>
          </w:rPr>
          <w:t>Stakeholder Consultation Manual</w:t>
        </w:r>
      </w:hyperlink>
      <w:r w:rsidRPr="568FBF53">
        <w:rPr>
          <w:lang w:val="en-GB"/>
        </w:rPr>
        <w:t xml:space="preserve">, which also includes an example </w:t>
      </w:r>
      <w:hyperlink r:id="rId24" w:history="1">
        <w:r w:rsidRPr="00EC3F5E">
          <w:rPr>
            <w:rStyle w:val="Hyperlink"/>
            <w:lang w:val="en-GB"/>
          </w:rPr>
          <w:t>Workshop Agenda</w:t>
        </w:r>
      </w:hyperlink>
      <w:r w:rsidRPr="568FBF53">
        <w:rPr>
          <w:lang w:val="en-GB"/>
        </w:rPr>
        <w:t xml:space="preserve">, an optional </w:t>
      </w:r>
      <w:hyperlink r:id="rId25" w:history="1">
        <w:r w:rsidRPr="00EC3F5E">
          <w:rPr>
            <w:rStyle w:val="Hyperlink"/>
            <w:lang w:val="en-GB"/>
          </w:rPr>
          <w:t>Consultation Report Template</w:t>
        </w:r>
      </w:hyperlink>
      <w:r w:rsidRPr="568FBF53">
        <w:rPr>
          <w:lang w:val="en-GB"/>
        </w:rPr>
        <w:t xml:space="preserve"> (if useful), and </w:t>
      </w:r>
      <w:hyperlink r:id="rId26" w:history="1">
        <w:r w:rsidRPr="00EC3F5E">
          <w:rPr>
            <w:rStyle w:val="Hyperlink"/>
            <w:lang w:val="en-GB"/>
          </w:rPr>
          <w:t>Terms of Reference (</w:t>
        </w:r>
        <w:proofErr w:type="spellStart"/>
        <w:r w:rsidRPr="00EC3F5E">
          <w:rPr>
            <w:rStyle w:val="Hyperlink"/>
            <w:lang w:val="en-GB"/>
          </w:rPr>
          <w:t>ToR</w:t>
        </w:r>
        <w:proofErr w:type="spellEnd"/>
        <w:r w:rsidRPr="00EC3F5E">
          <w:rPr>
            <w:rStyle w:val="Hyperlink"/>
            <w:lang w:val="en-GB"/>
          </w:rPr>
          <w:t>) for a Facilitator</w:t>
        </w:r>
      </w:hyperlink>
      <w:r w:rsidRPr="568FBF53">
        <w:rPr>
          <w:lang w:val="en-GB"/>
        </w:rPr>
        <w:t xml:space="preserve">. Additional tools and materials include: </w:t>
      </w:r>
      <w:hyperlink r:id="rId27" w:history="1">
        <w:r w:rsidRPr="00EC3F5E">
          <w:rPr>
            <w:rStyle w:val="Hyperlink"/>
            <w:lang w:val="en-GB"/>
          </w:rPr>
          <w:t>one-page survey overview</w:t>
        </w:r>
      </w:hyperlink>
      <w:r w:rsidRPr="568FBF53">
        <w:rPr>
          <w:lang w:val="en-GB"/>
        </w:rPr>
        <w:t xml:space="preserve">; </w:t>
      </w:r>
      <w:hyperlink r:id="rId28" w:history="1">
        <w:r w:rsidRPr="00EC3F5E">
          <w:rPr>
            <w:rStyle w:val="Hyperlink"/>
            <w:lang w:val="en-GB"/>
          </w:rPr>
          <w:t>online IWRM survey tool</w:t>
        </w:r>
      </w:hyperlink>
      <w:r w:rsidRPr="568FBF53">
        <w:rPr>
          <w:lang w:val="en-GB"/>
        </w:rPr>
        <w:t xml:space="preserve">; 2017 and 2020 two-page </w:t>
      </w:r>
      <w:hyperlink r:id="rId29">
        <w:r w:rsidRPr="568FBF53">
          <w:rPr>
            <w:rStyle w:val="Hyperlink"/>
            <w:lang w:val="en-GB"/>
          </w:rPr>
          <w:t>country summaries</w:t>
        </w:r>
      </w:hyperlink>
      <w:r w:rsidRPr="568FBF53">
        <w:rPr>
          <w:lang w:val="en-GB"/>
        </w:rPr>
        <w:t xml:space="preserve">; </w:t>
      </w:r>
      <w:hyperlink r:id="rId30" w:history="1">
        <w:r w:rsidRPr="00EC3F5E">
          <w:rPr>
            <w:rStyle w:val="Hyperlink"/>
            <w:lang w:val="en-GB"/>
          </w:rPr>
          <w:t>training for facilitators course for SDG 6.5.1</w:t>
        </w:r>
      </w:hyperlink>
      <w:r w:rsidRPr="568FBF53">
        <w:rPr>
          <w:u w:val="single"/>
          <w:lang w:val="en-GB"/>
        </w:rPr>
        <w:t xml:space="preserve"> </w:t>
      </w:r>
      <w:r w:rsidRPr="568FBF53">
        <w:rPr>
          <w:lang w:val="en-GB"/>
        </w:rPr>
        <w:t xml:space="preserve">(free, self-paced online course on running stakeholder consultations, available in English, French and Spanish, approximately 4-6 hours commitment); </w:t>
      </w:r>
      <w:hyperlink r:id="rId31" w:history="1">
        <w:r w:rsidRPr="00EC3F5E">
          <w:rPr>
            <w:rStyle w:val="Hyperlink"/>
            <w:lang w:val="en-GB"/>
          </w:rPr>
          <w:t>gender checklist</w:t>
        </w:r>
      </w:hyperlink>
      <w:r w:rsidRPr="568FBF53">
        <w:rPr>
          <w:lang w:val="en-GB"/>
        </w:rPr>
        <w:t xml:space="preserve">. </w:t>
      </w:r>
    </w:p>
    <w:p w14:paraId="13D8B97C" w14:textId="77777777" w:rsidR="00847689" w:rsidRDefault="00847689">
      <w:pPr>
        <w:rPr>
          <w:color w:val="12354E" w:themeColor="accent1" w:themeShade="BF"/>
        </w:rPr>
      </w:pPr>
      <w:r>
        <w:br w:type="page"/>
      </w:r>
    </w:p>
    <w:p w14:paraId="3C718321" w14:textId="77777777" w:rsidR="568FBF53" w:rsidRDefault="568FBF53" w:rsidP="008F0647">
      <w:pPr>
        <w:pStyle w:val="Body"/>
        <w:jc w:val="both"/>
        <w:rPr>
          <w:lang w:val="en-GB"/>
        </w:rPr>
      </w:pPr>
    </w:p>
    <w:p w14:paraId="1B9FF74E" w14:textId="6E11E3E0" w:rsidR="00970943" w:rsidRDefault="00970943" w:rsidP="568FBF53">
      <w:pPr>
        <w:pStyle w:val="Heading1"/>
        <w:numPr>
          <w:ilvl w:val="0"/>
          <w:numId w:val="21"/>
        </w:numPr>
      </w:pPr>
      <w:r w:rsidRPr="568FBF53">
        <w:t xml:space="preserve"> SUBMISSION AND QUALITY ASSURANCE</w:t>
      </w:r>
    </w:p>
    <w:p w14:paraId="62A32299" w14:textId="77777777" w:rsidR="00795FFC" w:rsidRPr="00795FFC" w:rsidRDefault="00795FFC" w:rsidP="0098576D">
      <w:pPr>
        <w:pStyle w:val="Body"/>
        <w:jc w:val="both"/>
        <w:rPr>
          <w:lang w:val="en-GB"/>
        </w:rPr>
      </w:pPr>
      <w:r w:rsidRPr="568FBF53">
        <w:rPr>
          <w:lang w:val="en-GB"/>
        </w:rPr>
        <w:t xml:space="preserve">The submission process is as follows: </w:t>
      </w:r>
    </w:p>
    <w:p w14:paraId="277324CB" w14:textId="77777777" w:rsidR="00795FFC" w:rsidRPr="00795FFC" w:rsidRDefault="00795FFC" w:rsidP="0098576D">
      <w:pPr>
        <w:pStyle w:val="Body"/>
        <w:numPr>
          <w:ilvl w:val="0"/>
          <w:numId w:val="24"/>
        </w:numPr>
        <w:jc w:val="both"/>
        <w:rPr>
          <w:lang w:val="en-GB"/>
        </w:rPr>
      </w:pPr>
      <w:r w:rsidRPr="00795FFC">
        <w:rPr>
          <w:u w:val="single"/>
          <w:lang w:val="en-GB"/>
        </w:rPr>
        <w:t>Interim Drafts:</w:t>
      </w:r>
      <w:r w:rsidRPr="00795FFC">
        <w:rPr>
          <w:lang w:val="en-GB"/>
        </w:rPr>
        <w:t xml:space="preserve"> Focal Points are encouraged to share “Interim Drafts” with the Help Desk for informal feedback and clarifications.</w:t>
      </w:r>
      <w:r w:rsidRPr="568FBF53">
        <w:rPr>
          <w:vertAlign w:val="superscript"/>
          <w:lang w:val="en-GB"/>
        </w:rPr>
        <w:footnoteReference w:id="2"/>
      </w:r>
    </w:p>
    <w:p w14:paraId="07575817" w14:textId="77777777" w:rsidR="00795FFC" w:rsidRPr="00795FFC" w:rsidRDefault="00795FFC" w:rsidP="568FBF53">
      <w:pPr>
        <w:pStyle w:val="Body"/>
        <w:numPr>
          <w:ilvl w:val="0"/>
          <w:numId w:val="24"/>
        </w:numPr>
        <w:jc w:val="both"/>
        <w:rPr>
          <w:lang w:val="en-GB"/>
        </w:rPr>
      </w:pPr>
      <w:r w:rsidRPr="00795FFC">
        <w:rPr>
          <w:u w:val="single"/>
          <w:lang w:val="en-GB"/>
        </w:rPr>
        <w:t>Final Draft:</w:t>
      </w:r>
      <w:r w:rsidRPr="00795FFC">
        <w:rPr>
          <w:lang w:val="en-GB"/>
        </w:rPr>
        <w:t xml:space="preserve"> Focal Points are responsible for submitting a completed Final Draft survey to the Help Desk at </w:t>
      </w:r>
      <w:hyperlink r:id="rId32">
        <w:r w:rsidRPr="00795FFC">
          <w:rPr>
            <w:rStyle w:val="Hyperlink"/>
            <w:lang w:val="en-GB"/>
          </w:rPr>
          <w:t>iwrmsdg651@un.org</w:t>
        </w:r>
      </w:hyperlink>
      <w:r w:rsidRPr="00795FFC">
        <w:rPr>
          <w:lang w:val="en-GB"/>
        </w:rPr>
        <w:t xml:space="preserve">. </w:t>
      </w:r>
      <w:r w:rsidRPr="568FBF53">
        <w:rPr>
          <w:lang w:val="en-GB"/>
        </w:rPr>
        <w:t>Relevant national approval process should be followed.</w:t>
      </w:r>
      <w:r w:rsidRPr="568FBF53">
        <w:rPr>
          <w:vertAlign w:val="superscript"/>
          <w:lang w:val="en-GB"/>
        </w:rPr>
        <w:footnoteReference w:id="3"/>
      </w:r>
      <w:r w:rsidRPr="568FBF53">
        <w:rPr>
          <w:lang w:val="en-GB"/>
        </w:rPr>
        <w:t xml:space="preserve"> </w:t>
      </w:r>
    </w:p>
    <w:p w14:paraId="3CDB23C0" w14:textId="77777777" w:rsidR="00795FFC" w:rsidRPr="00795FFC" w:rsidRDefault="00795FFC" w:rsidP="0098576D">
      <w:pPr>
        <w:pStyle w:val="Body"/>
        <w:numPr>
          <w:ilvl w:val="0"/>
          <w:numId w:val="24"/>
        </w:numPr>
        <w:jc w:val="both"/>
        <w:rPr>
          <w:lang w:val="en-GB"/>
        </w:rPr>
      </w:pPr>
      <w:r w:rsidRPr="568FBF53">
        <w:rPr>
          <w:u w:val="single"/>
          <w:lang w:val="en-GB"/>
        </w:rPr>
        <w:t>Quality Assurance (QA):</w:t>
      </w:r>
      <w:r w:rsidRPr="568FBF53">
        <w:rPr>
          <w:lang w:val="en-GB"/>
        </w:rPr>
        <w:t xml:space="preserve"> the Help Desk will undertake standard QA procedures (available on request) to check that the survey has been properly completed, with correct calculation of indicator scores. </w:t>
      </w:r>
    </w:p>
    <w:p w14:paraId="3DF75BD6" w14:textId="77777777" w:rsidR="00795FFC" w:rsidRPr="00795FFC" w:rsidRDefault="00795FFC" w:rsidP="0098576D">
      <w:pPr>
        <w:pStyle w:val="Body"/>
        <w:numPr>
          <w:ilvl w:val="0"/>
          <w:numId w:val="24"/>
        </w:numPr>
        <w:jc w:val="both"/>
        <w:rPr>
          <w:lang w:val="en-GB"/>
        </w:rPr>
      </w:pPr>
      <w:r w:rsidRPr="568FBF53">
        <w:rPr>
          <w:u w:val="single"/>
          <w:lang w:val="en-GB"/>
        </w:rPr>
        <w:t>Finalisation:</w:t>
      </w:r>
      <w:r w:rsidRPr="568FBF53">
        <w:rPr>
          <w:lang w:val="en-GB"/>
        </w:rPr>
        <w:t xml:space="preserve"> once the Focal Point and the Help Desk are satisfied that all QA criteria have been met, the Help Desk will mark the survey as “Final” and share it with the Focal Point. </w:t>
      </w:r>
    </w:p>
    <w:p w14:paraId="558AE779" w14:textId="77777777" w:rsidR="00795FFC" w:rsidRPr="00795FFC" w:rsidRDefault="00795FFC" w:rsidP="0098576D">
      <w:pPr>
        <w:pStyle w:val="Body"/>
        <w:jc w:val="both"/>
        <w:rPr>
          <w:lang w:val="en-GB"/>
        </w:rPr>
      </w:pPr>
      <w:r w:rsidRPr="568FBF53">
        <w:rPr>
          <w:lang w:val="en-GB"/>
        </w:rPr>
        <w:t xml:space="preserve">The deadline for submitting the </w:t>
      </w:r>
      <w:r w:rsidRPr="568FBF53">
        <w:rPr>
          <w:b/>
          <w:bCs/>
          <w:lang w:val="en-GB"/>
        </w:rPr>
        <w:t>Final Draft is 1</w:t>
      </w:r>
      <w:r w:rsidRPr="568FBF53">
        <w:rPr>
          <w:b/>
          <w:bCs/>
          <w:vertAlign w:val="superscript"/>
          <w:lang w:val="en-GB"/>
        </w:rPr>
        <w:t>st</w:t>
      </w:r>
      <w:r w:rsidRPr="568FBF53">
        <w:rPr>
          <w:b/>
          <w:bCs/>
          <w:lang w:val="en-GB"/>
        </w:rPr>
        <w:t xml:space="preserve"> October 2023</w:t>
      </w:r>
      <w:r w:rsidRPr="568FBF53">
        <w:rPr>
          <w:lang w:val="en-GB"/>
        </w:rPr>
        <w:t xml:space="preserve">. Any variations to timelines will be communicated to the Focal Points from the Help Desk. Focal Points are invited to keep the Help Desk informed of </w:t>
      </w:r>
      <w:proofErr w:type="gramStart"/>
      <w:r w:rsidRPr="568FBF53">
        <w:rPr>
          <w:lang w:val="en-GB"/>
        </w:rPr>
        <w:t>progress, and</w:t>
      </w:r>
      <w:proofErr w:type="gramEnd"/>
      <w:r w:rsidRPr="568FBF53">
        <w:rPr>
          <w:lang w:val="en-GB"/>
        </w:rPr>
        <w:t xml:space="preserve"> should notify the Help Desk if there are challenges meeting the deadlines. </w:t>
      </w:r>
    </w:p>
    <w:p w14:paraId="4CDEF8C7" w14:textId="4CCF2BFC" w:rsidR="00795FFC" w:rsidRPr="00795FFC" w:rsidRDefault="00795FFC" w:rsidP="0098576D">
      <w:pPr>
        <w:pStyle w:val="Body"/>
        <w:jc w:val="both"/>
        <w:rPr>
          <w:lang w:val="en-GB"/>
        </w:rPr>
      </w:pPr>
      <w:r w:rsidRPr="568FBF53">
        <w:rPr>
          <w:lang w:val="en-GB"/>
        </w:rPr>
        <w:t xml:space="preserve">Upon request, the </w:t>
      </w:r>
      <w:hyperlink r:id="rId33">
        <w:r w:rsidRPr="568FBF53">
          <w:rPr>
            <w:rStyle w:val="Hyperlink"/>
            <w:lang w:val="en-GB"/>
          </w:rPr>
          <w:t>Help Desk</w:t>
        </w:r>
      </w:hyperlink>
      <w:r w:rsidRPr="568FBF53">
        <w:rPr>
          <w:lang w:val="en-GB"/>
        </w:rPr>
        <w:t xml:space="preserve"> can provide support to the Focal Points on matters such as interpretation of questions and thresholds, the appropriate level of stakeholder engagement, and support with submissions. A simple </w:t>
      </w:r>
      <w:hyperlink r:id="rId34" w:history="1">
        <w:r w:rsidRPr="00EC3F5E">
          <w:rPr>
            <w:rStyle w:val="Hyperlink"/>
            <w:lang w:val="en-GB"/>
          </w:rPr>
          <w:t>calculation template</w:t>
        </w:r>
      </w:hyperlink>
      <w:r w:rsidRPr="568FBF53">
        <w:rPr>
          <w:lang w:val="en-GB"/>
        </w:rPr>
        <w:t xml:space="preserve"> is available to ensure correct calculation of dimension and indicator scores. </w:t>
      </w:r>
    </w:p>
    <w:p w14:paraId="3F600B6D" w14:textId="703194C6" w:rsidR="00847689" w:rsidRDefault="00847689">
      <w:r>
        <w:br w:type="page"/>
      </w:r>
    </w:p>
    <w:p w14:paraId="0A8F2BB1" w14:textId="732B995B" w:rsidR="00970943" w:rsidRDefault="00970943" w:rsidP="568FBF53">
      <w:pPr>
        <w:pStyle w:val="Heading1"/>
        <w:numPr>
          <w:ilvl w:val="0"/>
          <w:numId w:val="21"/>
        </w:numPr>
      </w:pPr>
      <w:r w:rsidRPr="568FBF53">
        <w:lastRenderedPageBreak/>
        <w:t xml:space="preserve">AFTER SUBMISSION </w:t>
      </w:r>
    </w:p>
    <w:p w14:paraId="06BC76A7" w14:textId="77777777" w:rsidR="00795FFC" w:rsidRPr="00795FFC" w:rsidRDefault="00795FFC" w:rsidP="0098576D">
      <w:pPr>
        <w:pStyle w:val="Body"/>
        <w:jc w:val="both"/>
        <w:rPr>
          <w:lang w:val="en-GB"/>
        </w:rPr>
      </w:pPr>
      <w:r w:rsidRPr="00795FFC">
        <w:rPr>
          <w:lang w:val="en-GB"/>
        </w:rPr>
        <w:t>The monitoring process takes place approximately every 3 years</w:t>
      </w:r>
      <w:r w:rsidRPr="568FBF53">
        <w:rPr>
          <w:vertAlign w:val="superscript"/>
          <w:lang w:val="en-GB"/>
        </w:rPr>
        <w:footnoteReference w:id="4"/>
      </w:r>
      <w:r w:rsidRPr="00795FFC">
        <w:rPr>
          <w:lang w:val="en-GB"/>
        </w:rPr>
        <w:t>. After each monitoring round, UNEP and partners have the responsibility to:</w:t>
      </w:r>
    </w:p>
    <w:p w14:paraId="07208843" w14:textId="77777777" w:rsidR="00795FFC" w:rsidRPr="00795FFC" w:rsidRDefault="00795FFC" w:rsidP="0098576D">
      <w:pPr>
        <w:pStyle w:val="Body"/>
        <w:numPr>
          <w:ilvl w:val="0"/>
          <w:numId w:val="23"/>
        </w:numPr>
        <w:jc w:val="both"/>
        <w:rPr>
          <w:lang w:val="en-GB"/>
        </w:rPr>
      </w:pPr>
      <w:r w:rsidRPr="568FBF53">
        <w:rPr>
          <w:lang w:val="en-GB"/>
        </w:rPr>
        <w:t xml:space="preserve">Make the results available via the </w:t>
      </w:r>
      <w:hyperlink r:id="rId35">
        <w:r w:rsidRPr="568FBF53">
          <w:rPr>
            <w:rStyle w:val="Hyperlink"/>
            <w:lang w:val="en-GB"/>
          </w:rPr>
          <w:t>IWRM Data Portal</w:t>
        </w:r>
      </w:hyperlink>
      <w:r w:rsidRPr="568FBF53">
        <w:rPr>
          <w:lang w:val="en-GB"/>
        </w:rPr>
        <w:t xml:space="preserve"> and prepare global status reports.    </w:t>
      </w:r>
    </w:p>
    <w:p w14:paraId="06183089" w14:textId="77777777" w:rsidR="00795FFC" w:rsidRPr="00795FFC" w:rsidRDefault="00795FFC" w:rsidP="0098576D">
      <w:pPr>
        <w:pStyle w:val="Body"/>
        <w:numPr>
          <w:ilvl w:val="0"/>
          <w:numId w:val="23"/>
        </w:numPr>
        <w:jc w:val="both"/>
        <w:rPr>
          <w:lang w:val="en-GB"/>
        </w:rPr>
      </w:pPr>
      <w:r w:rsidRPr="568FBF53">
        <w:rPr>
          <w:lang w:val="en-GB"/>
        </w:rPr>
        <w:t xml:space="preserve">Report data to the UN Statistical Division for </w:t>
      </w:r>
      <w:hyperlink r:id="rId36">
        <w:r w:rsidRPr="568FBF53">
          <w:rPr>
            <w:rStyle w:val="Hyperlink"/>
            <w:lang w:val="en-GB"/>
          </w:rPr>
          <w:t>tracking progress towards the SDGs</w:t>
        </w:r>
      </w:hyperlink>
      <w:r w:rsidRPr="568FBF53">
        <w:rPr>
          <w:lang w:val="en-GB"/>
        </w:rPr>
        <w:t>.</w:t>
      </w:r>
    </w:p>
    <w:p w14:paraId="1303CA5A" w14:textId="23118743" w:rsidR="00795FFC" w:rsidRPr="00795FFC" w:rsidRDefault="00795FFC" w:rsidP="568FBF53">
      <w:pPr>
        <w:pStyle w:val="Body"/>
        <w:jc w:val="both"/>
        <w:rPr>
          <w:lang w:val="en-GB"/>
        </w:rPr>
      </w:pPr>
      <w:r w:rsidRPr="568FBF53">
        <w:rPr>
          <w:lang w:val="en-GB"/>
        </w:rPr>
        <w:t xml:space="preserve">SDG 6.5.1 Focal Points are encouraged to share the outcomes, advocate for resources and discuss the way forward with relevant decision-makers, making use of the </w:t>
      </w:r>
      <w:hyperlink r:id="rId37">
        <w:r w:rsidRPr="568FBF53">
          <w:rPr>
            <w:rStyle w:val="Hyperlink"/>
            <w:lang w:val="en-GB"/>
          </w:rPr>
          <w:t>country summaries</w:t>
        </w:r>
      </w:hyperlink>
      <w:r w:rsidRPr="568FBF53">
        <w:rPr>
          <w:lang w:val="en-GB"/>
        </w:rPr>
        <w:t xml:space="preserve"> available on the </w:t>
      </w:r>
      <w:hyperlink r:id="rId38">
        <w:r w:rsidRPr="568FBF53">
          <w:rPr>
            <w:rStyle w:val="Hyperlink"/>
            <w:lang w:val="en-GB"/>
          </w:rPr>
          <w:t>IWRM Data Portal</w:t>
        </w:r>
      </w:hyperlink>
      <w:r w:rsidRPr="568FBF53">
        <w:rPr>
          <w:lang w:val="en-GB"/>
        </w:rPr>
        <w:t xml:space="preserve">. See the supporting document “Follow-up: building on the survey” for further guidance and information (forthcoming). </w:t>
      </w:r>
    </w:p>
    <w:p w14:paraId="13768A62" w14:textId="068BF375" w:rsidR="00795FFC" w:rsidRPr="00795FFC" w:rsidRDefault="00795FFC" w:rsidP="568FBF53">
      <w:pPr>
        <w:pStyle w:val="Body"/>
        <w:jc w:val="both"/>
        <w:rPr>
          <w:lang w:val="en-GB"/>
        </w:rPr>
      </w:pPr>
      <w:r w:rsidRPr="568FBF53">
        <w:rPr>
          <w:lang w:val="en-GB"/>
        </w:rPr>
        <w:t>The SDG 6 IWRM Support Programme offers technical and financial assistance to a limited number of countries in developing an IWRM Action Plan. Interested countries can contact the Support Programme for more information (</w:t>
      </w:r>
      <w:hyperlink r:id="rId39">
        <w:r w:rsidRPr="568FBF53">
          <w:rPr>
            <w:rStyle w:val="Hyperlink"/>
            <w:lang w:val="en-GB"/>
          </w:rPr>
          <w:t>sdg6iwrmsp@gwp.org</w:t>
        </w:r>
      </w:hyperlink>
      <w:r w:rsidRPr="568FBF53">
        <w:rPr>
          <w:lang w:val="en-GB"/>
        </w:rPr>
        <w:t xml:space="preserve">) and view existing IWRM Action Plans on the </w:t>
      </w:r>
      <w:hyperlink r:id="rId40" w:history="1">
        <w:r w:rsidRPr="00EC3F5E">
          <w:rPr>
            <w:rStyle w:val="Hyperlink"/>
            <w:lang w:val="en-GB"/>
          </w:rPr>
          <w:t>Results Map</w:t>
        </w:r>
      </w:hyperlink>
      <w:r w:rsidRPr="568FBF53">
        <w:rPr>
          <w:lang w:val="en-GB"/>
        </w:rPr>
        <w:t>. </w:t>
      </w:r>
    </w:p>
    <w:p w14:paraId="623BD2D1" w14:textId="77777777" w:rsidR="00795FFC" w:rsidRDefault="00795FFC" w:rsidP="568FBF53">
      <w:pPr>
        <w:pStyle w:val="Body"/>
        <w:jc w:val="both"/>
        <w:rPr>
          <w:lang w:val="en-GB"/>
        </w:rPr>
      </w:pPr>
      <w:r w:rsidRPr="568FBF53">
        <w:rPr>
          <w:rStyle w:val="normaltextrun"/>
          <w:lang w:val="en-GB"/>
        </w:rPr>
        <w:t xml:space="preserve">Countries are encouraged to engage with neighbours to exchange experiences and discuss opportunities for collaboration. The SDG 6 IWRM Support Programme can support work with regional bodies to co-develop assessments and products to help advance IWRM implementation at national and </w:t>
      </w:r>
      <w:hyperlink r:id="rId41">
        <w:r w:rsidRPr="568FBF53">
          <w:rPr>
            <w:rStyle w:val="Hyperlink"/>
            <w:lang w:val="en-GB"/>
          </w:rPr>
          <w:t>regional</w:t>
        </w:r>
      </w:hyperlink>
      <w:r w:rsidRPr="568FBF53">
        <w:rPr>
          <w:rStyle w:val="normaltextrun"/>
          <w:lang w:val="en-GB"/>
        </w:rPr>
        <w:t xml:space="preserve"> levels</w:t>
      </w:r>
      <w:r w:rsidRPr="568FBF53">
        <w:rPr>
          <w:lang w:val="en-GB"/>
        </w:rPr>
        <w:t>.</w:t>
      </w:r>
    </w:p>
    <w:p w14:paraId="01A23D41" w14:textId="300F9E62" w:rsidR="00970943" w:rsidRPr="00795FFC" w:rsidRDefault="00970943" w:rsidP="0098576D">
      <w:pPr>
        <w:pStyle w:val="Body"/>
        <w:jc w:val="both"/>
        <w:rPr>
          <w:lang w:val="en-GB"/>
        </w:rPr>
      </w:pPr>
      <w:r w:rsidRPr="568FBF53">
        <w:rPr>
          <w:lang w:val="en-GB"/>
        </w:rPr>
        <w:br w:type="page"/>
      </w:r>
    </w:p>
    <w:p w14:paraId="2DB8A74B" w14:textId="77777777" w:rsidR="00970943" w:rsidRDefault="00970943" w:rsidP="00E42206">
      <w:pPr>
        <w:pStyle w:val="Heading1"/>
        <w:spacing w:after="120"/>
      </w:pPr>
      <w:r w:rsidRPr="568FBF53">
        <w:lastRenderedPageBreak/>
        <w:t>ANNEXES</w:t>
      </w:r>
    </w:p>
    <w:p w14:paraId="1FF6C250" w14:textId="77777777" w:rsidR="00970943" w:rsidRDefault="00970943" w:rsidP="568FBF53">
      <w:pPr>
        <w:pStyle w:val="Heading2"/>
      </w:pPr>
      <w:bookmarkStart w:id="0" w:name="_ANNEX_1:_SUMMARY"/>
      <w:bookmarkEnd w:id="0"/>
      <w:r w:rsidRPr="568FBF53">
        <w:t>ANNEX 1: SUMMARY OF ADDITIONAL / OPTIONAL SUPPORTING MATERIAL</w:t>
      </w:r>
    </w:p>
    <w:p w14:paraId="563ABAA0" w14:textId="58893746" w:rsidR="00970943" w:rsidRPr="004303E9" w:rsidRDefault="00970943" w:rsidP="004303E9">
      <w:pPr>
        <w:pStyle w:val="Body"/>
        <w:tabs>
          <w:tab w:val="left" w:pos="6663"/>
        </w:tabs>
        <w:jc w:val="both"/>
        <w:rPr>
          <w:lang w:val="en-GB"/>
        </w:rPr>
      </w:pPr>
      <w:r w:rsidRPr="568FBF53">
        <w:rPr>
          <w:lang w:val="en-GB"/>
        </w:rPr>
        <w:t>The following table provides a summary of optional resources that the Focal Point and colleagues may wish to pick and choose from, should they require further information, guidance, or tools. It is not necessary to read all these documents to successfully complete the 6.5.1 survey.</w:t>
      </w:r>
    </w:p>
    <w:tbl>
      <w:tblPr>
        <w:tblStyle w:val="TableGridLight"/>
        <w:tblW w:w="8995" w:type="dxa"/>
        <w:tblLayout w:type="fixed"/>
        <w:tblLook w:val="04A0" w:firstRow="1" w:lastRow="0" w:firstColumn="1" w:lastColumn="0" w:noHBand="0" w:noVBand="1"/>
      </w:tblPr>
      <w:tblGrid>
        <w:gridCol w:w="2175"/>
        <w:gridCol w:w="5380"/>
        <w:gridCol w:w="1440"/>
      </w:tblGrid>
      <w:tr w:rsidR="003E6826" w:rsidRPr="003E6826" w14:paraId="35BB455D" w14:textId="77777777" w:rsidTr="568FBF53">
        <w:trPr>
          <w:trHeight w:val="290"/>
        </w:trPr>
        <w:tc>
          <w:tcPr>
            <w:tcW w:w="2175" w:type="dxa"/>
            <w:shd w:val="clear" w:color="auto" w:fill="194869" w:themeFill="accent1"/>
          </w:tcPr>
          <w:p w14:paraId="5B6F4AE3" w14:textId="77777777" w:rsidR="00970943" w:rsidRPr="00C457FA" w:rsidRDefault="00970943" w:rsidP="568FBF53">
            <w:pPr>
              <w:spacing w:before="20" w:after="20"/>
              <w:rPr>
                <w:b/>
                <w:bCs/>
                <w:color w:val="FFFFFF" w:themeColor="background1"/>
              </w:rPr>
            </w:pPr>
            <w:r w:rsidRPr="568FBF53">
              <w:rPr>
                <w:b/>
                <w:bCs/>
                <w:color w:val="FFFFFF" w:themeColor="background1"/>
              </w:rPr>
              <w:t xml:space="preserve">SDG 651 2023 - </w:t>
            </w:r>
            <w:r>
              <w:br/>
            </w:r>
            <w:r w:rsidRPr="568FBF53">
              <w:rPr>
                <w:b/>
                <w:bCs/>
                <w:color w:val="FFFFFF" w:themeColor="background1"/>
              </w:rPr>
              <w:t>Supporting Materials</w:t>
            </w:r>
          </w:p>
        </w:tc>
        <w:tc>
          <w:tcPr>
            <w:tcW w:w="5380" w:type="dxa"/>
            <w:shd w:val="clear" w:color="auto" w:fill="194869" w:themeFill="accent1"/>
          </w:tcPr>
          <w:p w14:paraId="5798BCB5" w14:textId="77777777" w:rsidR="00970943" w:rsidRPr="00C457FA" w:rsidRDefault="00970943" w:rsidP="568FBF53">
            <w:pPr>
              <w:spacing w:before="20" w:after="20"/>
              <w:rPr>
                <w:b/>
                <w:bCs/>
                <w:color w:val="20A6CA" w:themeColor="accent2"/>
              </w:rPr>
            </w:pPr>
            <w:r w:rsidRPr="568FBF53">
              <w:rPr>
                <w:b/>
                <w:bCs/>
                <w:color w:val="FFFFFF" w:themeColor="background1"/>
              </w:rPr>
              <w:t>Description</w:t>
            </w:r>
          </w:p>
        </w:tc>
        <w:tc>
          <w:tcPr>
            <w:tcW w:w="1440" w:type="dxa"/>
            <w:shd w:val="clear" w:color="auto" w:fill="194869" w:themeFill="accent1"/>
          </w:tcPr>
          <w:p w14:paraId="198C4838" w14:textId="227A8A78" w:rsidR="00970943" w:rsidRPr="00C457FA" w:rsidRDefault="006D2877" w:rsidP="568FBF53">
            <w:pPr>
              <w:spacing w:before="20" w:after="20"/>
              <w:rPr>
                <w:b/>
                <w:bCs/>
                <w:color w:val="20A6CA" w:themeColor="accent2"/>
              </w:rPr>
            </w:pPr>
            <w:r w:rsidRPr="568FBF53">
              <w:rPr>
                <w:b/>
                <w:bCs/>
                <w:color w:val="FFFFFF" w:themeColor="background1"/>
              </w:rPr>
              <w:t>Languages</w:t>
            </w:r>
            <w:r w:rsidR="00970943" w:rsidRPr="568FBF53">
              <w:rPr>
                <w:b/>
                <w:bCs/>
                <w:color w:val="FFFFFF" w:themeColor="background1"/>
              </w:rPr>
              <w:t>*</w:t>
            </w:r>
          </w:p>
        </w:tc>
      </w:tr>
      <w:tr w:rsidR="003E6826" w:rsidRPr="003E6826" w14:paraId="5C004EAA" w14:textId="77777777" w:rsidTr="568FBF53">
        <w:trPr>
          <w:trHeight w:val="290"/>
        </w:trPr>
        <w:tc>
          <w:tcPr>
            <w:tcW w:w="8995" w:type="dxa"/>
            <w:gridSpan w:val="3"/>
            <w:shd w:val="clear" w:color="auto" w:fill="DBEFF1" w:themeFill="accent4" w:themeFillTint="33"/>
          </w:tcPr>
          <w:p w14:paraId="6C60E363" w14:textId="77777777" w:rsidR="00970943" w:rsidRPr="00C457FA" w:rsidRDefault="00970943" w:rsidP="568FBF53">
            <w:pPr>
              <w:spacing w:before="20" w:after="20"/>
              <w:rPr>
                <w:b/>
                <w:bCs/>
                <w:color w:val="12354E" w:themeColor="accent1" w:themeShade="BF"/>
              </w:rPr>
            </w:pPr>
            <w:r w:rsidRPr="568FBF53">
              <w:rPr>
                <w:b/>
                <w:bCs/>
                <w:color w:val="12354E" w:themeColor="accent1" w:themeShade="BF"/>
              </w:rPr>
              <w:t>Summary supporting materials in different formats</w:t>
            </w:r>
          </w:p>
        </w:tc>
      </w:tr>
      <w:tr w:rsidR="003E6826" w:rsidRPr="003E6826" w14:paraId="4F270B4F" w14:textId="77777777" w:rsidTr="003C1F98">
        <w:trPr>
          <w:trHeight w:val="664"/>
        </w:trPr>
        <w:tc>
          <w:tcPr>
            <w:tcW w:w="2175" w:type="dxa"/>
          </w:tcPr>
          <w:p w14:paraId="12D6B9C9" w14:textId="5C50E806" w:rsidR="00970943" w:rsidRPr="00E42206" w:rsidRDefault="00D55C79" w:rsidP="568FBF53">
            <w:pPr>
              <w:spacing w:before="20" w:after="20"/>
              <w:rPr>
                <w:color w:val="12354E" w:themeColor="accent1" w:themeShade="BF"/>
                <w:sz w:val="22"/>
                <w:szCs w:val="22"/>
              </w:rPr>
            </w:pPr>
            <w:hyperlink r:id="rId42" w:history="1">
              <w:r w:rsidR="00970943" w:rsidRPr="00E42206">
                <w:rPr>
                  <w:rStyle w:val="Hyperlink"/>
                  <w:sz w:val="22"/>
                  <w:szCs w:val="22"/>
                </w:rPr>
                <w:t>Summary Videos</w:t>
              </w:r>
            </w:hyperlink>
          </w:p>
        </w:tc>
        <w:tc>
          <w:tcPr>
            <w:tcW w:w="5380" w:type="dxa"/>
          </w:tcPr>
          <w:p w14:paraId="2D260363" w14:textId="417F75F1" w:rsidR="00970943" w:rsidRPr="00E42206" w:rsidRDefault="00970943" w:rsidP="568FBF53">
            <w:pPr>
              <w:spacing w:before="20" w:after="20"/>
              <w:rPr>
                <w:color w:val="12354E" w:themeColor="accent1" w:themeShade="BF"/>
                <w:sz w:val="22"/>
                <w:szCs w:val="22"/>
              </w:rPr>
            </w:pPr>
            <w:r w:rsidRPr="00E42206">
              <w:rPr>
                <w:color w:val="12354E" w:themeColor="accent1" w:themeShade="BF"/>
                <w:sz w:val="22"/>
                <w:szCs w:val="22"/>
              </w:rPr>
              <w:t>Summarising the content of this Monitoring Guide in short videos (3-5 minutes each).</w:t>
            </w:r>
          </w:p>
        </w:tc>
        <w:tc>
          <w:tcPr>
            <w:tcW w:w="1440" w:type="dxa"/>
          </w:tcPr>
          <w:p w14:paraId="265CBF63" w14:textId="77777777" w:rsidR="00970943" w:rsidRPr="00E42206" w:rsidRDefault="00970943" w:rsidP="568FBF53">
            <w:pPr>
              <w:spacing w:before="20" w:after="20"/>
              <w:rPr>
                <w:color w:val="12354E" w:themeColor="accent1" w:themeShade="BF"/>
                <w:sz w:val="22"/>
                <w:szCs w:val="22"/>
              </w:rPr>
            </w:pPr>
            <w:r w:rsidRPr="00E42206">
              <w:rPr>
                <w:color w:val="12354E" w:themeColor="accent1" w:themeShade="BF"/>
                <w:sz w:val="22"/>
                <w:szCs w:val="22"/>
              </w:rPr>
              <w:t>All</w:t>
            </w:r>
          </w:p>
        </w:tc>
      </w:tr>
      <w:tr w:rsidR="003E6826" w:rsidRPr="003E6826" w14:paraId="71B769FA" w14:textId="77777777" w:rsidTr="568FBF53">
        <w:trPr>
          <w:trHeight w:val="243"/>
        </w:trPr>
        <w:tc>
          <w:tcPr>
            <w:tcW w:w="2175" w:type="dxa"/>
          </w:tcPr>
          <w:p w14:paraId="27E9C771" w14:textId="4765ECBE" w:rsidR="00970943" w:rsidRPr="00E42206" w:rsidRDefault="00D55C79" w:rsidP="568FBF53">
            <w:pPr>
              <w:spacing w:before="20" w:after="20"/>
              <w:rPr>
                <w:color w:val="12354E" w:themeColor="accent1" w:themeShade="BF"/>
                <w:sz w:val="22"/>
                <w:szCs w:val="22"/>
              </w:rPr>
            </w:pPr>
            <w:hyperlink r:id="rId43" w:history="1">
              <w:r w:rsidR="00970943" w:rsidRPr="00E42206">
                <w:rPr>
                  <w:rStyle w:val="Hyperlink"/>
                  <w:sz w:val="22"/>
                  <w:szCs w:val="22"/>
                </w:rPr>
                <w:t>Summary Presentation</w:t>
              </w:r>
            </w:hyperlink>
          </w:p>
        </w:tc>
        <w:tc>
          <w:tcPr>
            <w:tcW w:w="5380" w:type="dxa"/>
          </w:tcPr>
          <w:p w14:paraId="4E95098D" w14:textId="77777777" w:rsidR="00970943" w:rsidRPr="00E42206" w:rsidRDefault="00970943" w:rsidP="568FBF53">
            <w:pPr>
              <w:spacing w:before="20" w:after="20"/>
              <w:rPr>
                <w:color w:val="12354E" w:themeColor="accent1" w:themeShade="BF"/>
                <w:sz w:val="22"/>
                <w:szCs w:val="22"/>
              </w:rPr>
            </w:pPr>
            <w:r w:rsidRPr="00E42206">
              <w:rPr>
                <w:color w:val="12354E" w:themeColor="accent1" w:themeShade="BF"/>
                <w:sz w:val="22"/>
                <w:szCs w:val="22"/>
              </w:rPr>
              <w:t xml:space="preserve">Combined presentation of above videos. </w:t>
            </w:r>
          </w:p>
        </w:tc>
        <w:tc>
          <w:tcPr>
            <w:tcW w:w="1440" w:type="dxa"/>
          </w:tcPr>
          <w:p w14:paraId="469C3559" w14:textId="77777777" w:rsidR="00970943" w:rsidRPr="00E42206" w:rsidRDefault="00970943" w:rsidP="568FBF53">
            <w:pPr>
              <w:spacing w:before="20" w:after="20"/>
              <w:rPr>
                <w:color w:val="12354E" w:themeColor="accent1" w:themeShade="BF"/>
                <w:sz w:val="22"/>
                <w:szCs w:val="22"/>
              </w:rPr>
            </w:pPr>
            <w:r w:rsidRPr="00E42206">
              <w:rPr>
                <w:color w:val="12354E" w:themeColor="accent1" w:themeShade="BF"/>
                <w:sz w:val="22"/>
                <w:szCs w:val="22"/>
              </w:rPr>
              <w:t>All</w:t>
            </w:r>
          </w:p>
        </w:tc>
      </w:tr>
      <w:tr w:rsidR="003E6826" w:rsidRPr="003E6826" w14:paraId="7ED62F10" w14:textId="77777777" w:rsidTr="568FBF53">
        <w:trPr>
          <w:trHeight w:val="290"/>
        </w:trPr>
        <w:tc>
          <w:tcPr>
            <w:tcW w:w="8995" w:type="dxa"/>
            <w:gridSpan w:val="3"/>
            <w:shd w:val="clear" w:color="auto" w:fill="DBEFF1" w:themeFill="accent4" w:themeFillTint="33"/>
          </w:tcPr>
          <w:p w14:paraId="24698313" w14:textId="77777777" w:rsidR="00970943" w:rsidRPr="00C457FA" w:rsidRDefault="00970943" w:rsidP="568FBF53">
            <w:pPr>
              <w:spacing w:before="20" w:after="20"/>
              <w:rPr>
                <w:b/>
                <w:bCs/>
                <w:color w:val="12354E" w:themeColor="accent1" w:themeShade="BF"/>
              </w:rPr>
            </w:pPr>
            <w:r w:rsidRPr="568FBF53">
              <w:rPr>
                <w:b/>
                <w:bCs/>
                <w:color w:val="12354E" w:themeColor="accent1" w:themeShade="BF"/>
              </w:rPr>
              <w:t>Support to completing the survey</w:t>
            </w:r>
          </w:p>
        </w:tc>
      </w:tr>
      <w:tr w:rsidR="003E6826" w:rsidRPr="003E6826" w14:paraId="7096291A" w14:textId="77777777" w:rsidTr="568FBF53">
        <w:trPr>
          <w:trHeight w:val="290"/>
        </w:trPr>
        <w:tc>
          <w:tcPr>
            <w:tcW w:w="2175" w:type="dxa"/>
          </w:tcPr>
          <w:p w14:paraId="79D87DBB" w14:textId="55763723" w:rsidR="00970943" w:rsidRPr="00E42206" w:rsidRDefault="00D55C79" w:rsidP="568FBF53">
            <w:pPr>
              <w:spacing w:before="20" w:after="20"/>
              <w:rPr>
                <w:color w:val="12354E" w:themeColor="accent1" w:themeShade="BF"/>
                <w:sz w:val="22"/>
                <w:szCs w:val="22"/>
              </w:rPr>
            </w:pPr>
            <w:hyperlink r:id="rId44" w:history="1">
              <w:r w:rsidR="00970943" w:rsidRPr="00E42206">
                <w:rPr>
                  <w:rStyle w:val="Hyperlink"/>
                  <w:sz w:val="22"/>
                  <w:szCs w:val="22"/>
                </w:rPr>
                <w:t>Survey Overview</w:t>
              </w:r>
            </w:hyperlink>
          </w:p>
        </w:tc>
        <w:tc>
          <w:tcPr>
            <w:tcW w:w="5380" w:type="dxa"/>
          </w:tcPr>
          <w:p w14:paraId="015C7822" w14:textId="77777777" w:rsidR="00970943" w:rsidRPr="00E42206" w:rsidRDefault="00970943" w:rsidP="568FBF53">
            <w:pPr>
              <w:spacing w:before="20" w:after="20"/>
              <w:rPr>
                <w:color w:val="12354E" w:themeColor="accent1" w:themeShade="BF"/>
                <w:sz w:val="22"/>
                <w:szCs w:val="22"/>
              </w:rPr>
            </w:pPr>
            <w:r w:rsidRPr="00E42206">
              <w:rPr>
                <w:color w:val="12354E" w:themeColor="accent1" w:themeShade="BF"/>
                <w:sz w:val="22"/>
                <w:szCs w:val="22"/>
              </w:rPr>
              <w:t>One page overview</w:t>
            </w:r>
          </w:p>
        </w:tc>
        <w:tc>
          <w:tcPr>
            <w:tcW w:w="1440" w:type="dxa"/>
          </w:tcPr>
          <w:p w14:paraId="537953F1" w14:textId="77777777" w:rsidR="00970943" w:rsidRPr="00E42206" w:rsidRDefault="00970943" w:rsidP="568FBF53">
            <w:pPr>
              <w:spacing w:before="20" w:after="20"/>
              <w:rPr>
                <w:color w:val="12354E" w:themeColor="accent1" w:themeShade="BF"/>
                <w:sz w:val="22"/>
                <w:szCs w:val="22"/>
              </w:rPr>
            </w:pPr>
            <w:r w:rsidRPr="00E42206">
              <w:rPr>
                <w:color w:val="12354E" w:themeColor="accent1" w:themeShade="BF"/>
                <w:sz w:val="22"/>
                <w:szCs w:val="22"/>
              </w:rPr>
              <w:t>All</w:t>
            </w:r>
          </w:p>
        </w:tc>
      </w:tr>
      <w:tr w:rsidR="003E6826" w:rsidRPr="003E6826" w14:paraId="589E6AE9" w14:textId="77777777" w:rsidTr="568FBF53">
        <w:trPr>
          <w:trHeight w:val="290"/>
        </w:trPr>
        <w:tc>
          <w:tcPr>
            <w:tcW w:w="2175" w:type="dxa"/>
          </w:tcPr>
          <w:p w14:paraId="4BB3CCF8" w14:textId="297AD6C9" w:rsidR="00970943" w:rsidRPr="00E42206" w:rsidRDefault="00D55C79" w:rsidP="568FBF53">
            <w:pPr>
              <w:spacing w:before="20" w:after="20"/>
              <w:rPr>
                <w:color w:val="12354E" w:themeColor="accent1" w:themeShade="BF"/>
                <w:sz w:val="22"/>
                <w:szCs w:val="22"/>
              </w:rPr>
            </w:pPr>
            <w:hyperlink r:id="rId45" w:history="1">
              <w:r w:rsidR="00970943" w:rsidRPr="00E42206">
                <w:rPr>
                  <w:rStyle w:val="Hyperlink"/>
                  <w:sz w:val="22"/>
                  <w:szCs w:val="22"/>
                </w:rPr>
                <w:t>Calculation Template</w:t>
              </w:r>
            </w:hyperlink>
          </w:p>
        </w:tc>
        <w:tc>
          <w:tcPr>
            <w:tcW w:w="5380" w:type="dxa"/>
          </w:tcPr>
          <w:p w14:paraId="4BCB301E" w14:textId="77777777" w:rsidR="00970943" w:rsidRPr="00E42206" w:rsidRDefault="00970943" w:rsidP="568FBF53">
            <w:pPr>
              <w:spacing w:before="20" w:after="20"/>
              <w:rPr>
                <w:color w:val="12354E" w:themeColor="accent1" w:themeShade="BF"/>
                <w:sz w:val="22"/>
                <w:szCs w:val="22"/>
              </w:rPr>
            </w:pPr>
            <w:r w:rsidRPr="00E42206">
              <w:rPr>
                <w:color w:val="12354E" w:themeColor="accent1" w:themeShade="BF"/>
                <w:sz w:val="22"/>
                <w:szCs w:val="22"/>
              </w:rPr>
              <w:t>Optional to support correct calculation of dimension and indicator scores.</w:t>
            </w:r>
          </w:p>
        </w:tc>
        <w:tc>
          <w:tcPr>
            <w:tcW w:w="1440" w:type="dxa"/>
          </w:tcPr>
          <w:p w14:paraId="4D01C990" w14:textId="77777777" w:rsidR="00970943" w:rsidRPr="00E42206" w:rsidRDefault="00970943" w:rsidP="568FBF53">
            <w:pPr>
              <w:spacing w:before="20" w:after="20"/>
              <w:rPr>
                <w:color w:val="12354E" w:themeColor="accent1" w:themeShade="BF"/>
                <w:sz w:val="22"/>
                <w:szCs w:val="22"/>
              </w:rPr>
            </w:pPr>
            <w:r w:rsidRPr="00E42206">
              <w:rPr>
                <w:color w:val="12354E" w:themeColor="accent1" w:themeShade="BF"/>
                <w:sz w:val="22"/>
                <w:szCs w:val="22"/>
              </w:rPr>
              <w:t>EN</w:t>
            </w:r>
          </w:p>
        </w:tc>
      </w:tr>
      <w:tr w:rsidR="003E6826" w:rsidRPr="003E6826" w14:paraId="014877F4" w14:textId="77777777" w:rsidTr="568FBF53">
        <w:trPr>
          <w:trHeight w:val="290"/>
        </w:trPr>
        <w:tc>
          <w:tcPr>
            <w:tcW w:w="2175" w:type="dxa"/>
          </w:tcPr>
          <w:p w14:paraId="50783F11" w14:textId="0C3F3B95" w:rsidR="00970943" w:rsidRPr="00E42206" w:rsidRDefault="00D55C79" w:rsidP="568FBF53">
            <w:pPr>
              <w:spacing w:before="20" w:after="20"/>
              <w:rPr>
                <w:color w:val="12354E" w:themeColor="accent1" w:themeShade="BF"/>
                <w:sz w:val="22"/>
                <w:szCs w:val="22"/>
              </w:rPr>
            </w:pPr>
            <w:hyperlink r:id="rId46" w:history="1">
              <w:r w:rsidR="00970943" w:rsidRPr="00E42206">
                <w:rPr>
                  <w:rStyle w:val="Hyperlink"/>
                  <w:sz w:val="22"/>
                  <w:szCs w:val="22"/>
                </w:rPr>
                <w:t>Gender checklist</w:t>
              </w:r>
            </w:hyperlink>
          </w:p>
        </w:tc>
        <w:tc>
          <w:tcPr>
            <w:tcW w:w="5380" w:type="dxa"/>
          </w:tcPr>
          <w:p w14:paraId="30184186" w14:textId="77777777" w:rsidR="00970943" w:rsidRPr="00E42206" w:rsidRDefault="00970943" w:rsidP="568FBF53">
            <w:pPr>
              <w:spacing w:before="20" w:after="20"/>
              <w:rPr>
                <w:color w:val="12354E" w:themeColor="accent1" w:themeShade="BF"/>
                <w:sz w:val="22"/>
                <w:szCs w:val="22"/>
              </w:rPr>
            </w:pPr>
            <w:r w:rsidRPr="00E42206">
              <w:rPr>
                <w:color w:val="12354E" w:themeColor="accent1" w:themeShade="BF"/>
                <w:sz w:val="22"/>
                <w:szCs w:val="22"/>
              </w:rPr>
              <w:t>Checklist to support discussion on status of gender mainstreaming in WRM (to support completion of survey question 2.2d)</w:t>
            </w:r>
          </w:p>
        </w:tc>
        <w:tc>
          <w:tcPr>
            <w:tcW w:w="1440" w:type="dxa"/>
          </w:tcPr>
          <w:p w14:paraId="2D967D0F" w14:textId="77777777" w:rsidR="00970943" w:rsidRPr="00E42206" w:rsidRDefault="00970943" w:rsidP="568FBF53">
            <w:pPr>
              <w:spacing w:before="20" w:after="20"/>
              <w:rPr>
                <w:color w:val="12354E" w:themeColor="accent1" w:themeShade="BF"/>
                <w:sz w:val="22"/>
                <w:szCs w:val="22"/>
              </w:rPr>
            </w:pPr>
            <w:r w:rsidRPr="00E42206">
              <w:rPr>
                <w:color w:val="12354E" w:themeColor="accent1" w:themeShade="BF"/>
                <w:sz w:val="22"/>
                <w:szCs w:val="22"/>
              </w:rPr>
              <w:t>All</w:t>
            </w:r>
          </w:p>
        </w:tc>
      </w:tr>
      <w:tr w:rsidR="003E6826" w:rsidRPr="003E6826" w14:paraId="15346611" w14:textId="77777777" w:rsidTr="568FBF53">
        <w:trPr>
          <w:trHeight w:val="290"/>
        </w:trPr>
        <w:tc>
          <w:tcPr>
            <w:tcW w:w="8995" w:type="dxa"/>
            <w:gridSpan w:val="3"/>
            <w:shd w:val="clear" w:color="auto" w:fill="DBEFF1" w:themeFill="accent4" w:themeFillTint="33"/>
          </w:tcPr>
          <w:p w14:paraId="542E7467" w14:textId="77777777" w:rsidR="00970943" w:rsidRPr="00C457FA" w:rsidRDefault="00970943" w:rsidP="568FBF53">
            <w:pPr>
              <w:spacing w:before="20" w:after="20"/>
              <w:rPr>
                <w:b/>
                <w:bCs/>
                <w:color w:val="12354E" w:themeColor="accent1" w:themeShade="BF"/>
              </w:rPr>
            </w:pPr>
            <w:r w:rsidRPr="568FBF53">
              <w:rPr>
                <w:b/>
                <w:bCs/>
                <w:color w:val="12354E" w:themeColor="accent1" w:themeShade="BF"/>
              </w:rPr>
              <w:t>Stakeholder Consultation and Communication</w:t>
            </w:r>
          </w:p>
        </w:tc>
      </w:tr>
      <w:tr w:rsidR="003E6826" w:rsidRPr="003E6826" w14:paraId="7DA23B2D" w14:textId="77777777" w:rsidTr="568FBF53">
        <w:trPr>
          <w:trHeight w:val="290"/>
        </w:trPr>
        <w:tc>
          <w:tcPr>
            <w:tcW w:w="2175" w:type="dxa"/>
          </w:tcPr>
          <w:p w14:paraId="163C6688" w14:textId="69CAF9E6" w:rsidR="00970943" w:rsidRPr="00E42206" w:rsidRDefault="00D55C79" w:rsidP="00370771">
            <w:pPr>
              <w:pStyle w:val="Body"/>
              <w:jc w:val="both"/>
              <w:rPr>
                <w:sz w:val="22"/>
                <w:szCs w:val="22"/>
              </w:rPr>
            </w:pPr>
            <w:hyperlink r:id="rId47">
              <w:r w:rsidR="00970943" w:rsidRPr="00E42206">
                <w:rPr>
                  <w:rStyle w:val="Hyperlink"/>
                  <w:sz w:val="22"/>
                  <w:szCs w:val="22"/>
                  <w:lang w:val="en-GB"/>
                </w:rPr>
                <w:t>Country Summaries</w:t>
              </w:r>
            </w:hyperlink>
          </w:p>
        </w:tc>
        <w:tc>
          <w:tcPr>
            <w:tcW w:w="5380" w:type="dxa"/>
          </w:tcPr>
          <w:p w14:paraId="26362668" w14:textId="77777777" w:rsidR="00970943" w:rsidRPr="00E42206" w:rsidRDefault="00970943" w:rsidP="568FBF53">
            <w:pPr>
              <w:spacing w:before="20" w:after="20"/>
              <w:rPr>
                <w:color w:val="12354E" w:themeColor="accent1" w:themeShade="BF"/>
                <w:sz w:val="22"/>
                <w:szCs w:val="22"/>
              </w:rPr>
            </w:pPr>
            <w:r w:rsidRPr="00E42206">
              <w:rPr>
                <w:color w:val="12354E" w:themeColor="accent1" w:themeShade="BF"/>
                <w:sz w:val="22"/>
                <w:szCs w:val="22"/>
              </w:rPr>
              <w:t>2-page visual summaries of results from 2017 and 2020 per country.</w:t>
            </w:r>
          </w:p>
        </w:tc>
        <w:tc>
          <w:tcPr>
            <w:tcW w:w="1440" w:type="dxa"/>
          </w:tcPr>
          <w:p w14:paraId="066C23B3" w14:textId="77777777" w:rsidR="00970943" w:rsidRPr="00E42206" w:rsidRDefault="00970943" w:rsidP="568FBF53">
            <w:pPr>
              <w:spacing w:before="20" w:after="20"/>
              <w:rPr>
                <w:color w:val="12354E" w:themeColor="accent1" w:themeShade="BF"/>
                <w:sz w:val="22"/>
                <w:szCs w:val="22"/>
              </w:rPr>
            </w:pPr>
            <w:r w:rsidRPr="00E42206">
              <w:rPr>
                <w:color w:val="12354E" w:themeColor="accent1" w:themeShade="BF"/>
                <w:sz w:val="22"/>
                <w:szCs w:val="22"/>
              </w:rPr>
              <w:t>All</w:t>
            </w:r>
          </w:p>
        </w:tc>
      </w:tr>
      <w:tr w:rsidR="003E6826" w:rsidRPr="003E6826" w14:paraId="21F3C178" w14:textId="77777777" w:rsidTr="568FBF53">
        <w:trPr>
          <w:trHeight w:val="290"/>
        </w:trPr>
        <w:tc>
          <w:tcPr>
            <w:tcW w:w="2175" w:type="dxa"/>
            <w:vMerge w:val="restart"/>
          </w:tcPr>
          <w:p w14:paraId="53C5338B" w14:textId="0CBC1974" w:rsidR="00970943" w:rsidRPr="00E42206" w:rsidRDefault="00D55C79" w:rsidP="568FBF53">
            <w:pPr>
              <w:spacing w:before="20" w:after="20"/>
              <w:rPr>
                <w:color w:val="12354E" w:themeColor="accent1" w:themeShade="BF"/>
                <w:sz w:val="22"/>
                <w:szCs w:val="22"/>
              </w:rPr>
            </w:pPr>
            <w:hyperlink r:id="rId48" w:history="1">
              <w:r w:rsidR="00970943" w:rsidRPr="00E42206">
                <w:rPr>
                  <w:rStyle w:val="Hyperlink"/>
                  <w:sz w:val="22"/>
                  <w:szCs w:val="22"/>
                </w:rPr>
                <w:t>Stakeholder Consultation Manual</w:t>
              </w:r>
            </w:hyperlink>
          </w:p>
        </w:tc>
        <w:tc>
          <w:tcPr>
            <w:tcW w:w="5380" w:type="dxa"/>
          </w:tcPr>
          <w:p w14:paraId="4F57419F" w14:textId="77777777" w:rsidR="00970943" w:rsidRPr="00E42206" w:rsidRDefault="00970943" w:rsidP="568FBF53">
            <w:pPr>
              <w:spacing w:before="20" w:after="20"/>
              <w:rPr>
                <w:color w:val="12354E" w:themeColor="accent1" w:themeShade="BF"/>
                <w:sz w:val="22"/>
                <w:szCs w:val="22"/>
              </w:rPr>
            </w:pPr>
            <w:r w:rsidRPr="00E42206">
              <w:rPr>
                <w:color w:val="12354E" w:themeColor="accent1" w:themeShade="BF"/>
                <w:sz w:val="22"/>
                <w:szCs w:val="22"/>
              </w:rPr>
              <w:t>Further information and guidance on suggested stakeholder consultation processes for SDG 6.5.1 reporting</w:t>
            </w:r>
          </w:p>
        </w:tc>
        <w:tc>
          <w:tcPr>
            <w:tcW w:w="1440" w:type="dxa"/>
          </w:tcPr>
          <w:p w14:paraId="617D60B4" w14:textId="77777777" w:rsidR="00970943" w:rsidRPr="00E42206" w:rsidRDefault="00970943" w:rsidP="568FBF53">
            <w:pPr>
              <w:spacing w:before="20" w:after="20"/>
              <w:rPr>
                <w:color w:val="12354E" w:themeColor="accent1" w:themeShade="BF"/>
                <w:sz w:val="22"/>
                <w:szCs w:val="22"/>
              </w:rPr>
            </w:pPr>
            <w:r w:rsidRPr="00E42206">
              <w:rPr>
                <w:color w:val="12354E" w:themeColor="accent1" w:themeShade="BF"/>
                <w:sz w:val="22"/>
                <w:szCs w:val="22"/>
              </w:rPr>
              <w:t>All</w:t>
            </w:r>
          </w:p>
        </w:tc>
      </w:tr>
      <w:tr w:rsidR="003E6826" w:rsidRPr="003E6826" w14:paraId="543A5A47" w14:textId="77777777" w:rsidTr="568FBF53">
        <w:trPr>
          <w:trHeight w:val="1053"/>
        </w:trPr>
        <w:tc>
          <w:tcPr>
            <w:tcW w:w="2175" w:type="dxa"/>
            <w:vMerge/>
          </w:tcPr>
          <w:p w14:paraId="1F51D789" w14:textId="77777777" w:rsidR="00970943" w:rsidRPr="00E42206" w:rsidRDefault="00970943" w:rsidP="0098576D">
            <w:pPr>
              <w:spacing w:before="20" w:after="20"/>
              <w:ind w:left="506"/>
              <w:rPr>
                <w:color w:val="12354E" w:themeColor="accent1" w:themeShade="BF"/>
                <w:sz w:val="22"/>
                <w:szCs w:val="22"/>
              </w:rPr>
            </w:pPr>
          </w:p>
        </w:tc>
        <w:tc>
          <w:tcPr>
            <w:tcW w:w="6820" w:type="dxa"/>
            <w:gridSpan w:val="2"/>
          </w:tcPr>
          <w:p w14:paraId="21C66C6D" w14:textId="7E6C99A2" w:rsidR="00970943" w:rsidRPr="00E42206" w:rsidRDefault="00970943" w:rsidP="568FBF53">
            <w:pPr>
              <w:spacing w:before="20" w:after="20"/>
              <w:rPr>
                <w:color w:val="12354E" w:themeColor="accent1" w:themeShade="BF"/>
                <w:sz w:val="22"/>
                <w:szCs w:val="22"/>
              </w:rPr>
            </w:pPr>
            <w:r w:rsidRPr="00E42206">
              <w:rPr>
                <w:color w:val="12354E" w:themeColor="accent1" w:themeShade="BF"/>
                <w:sz w:val="22"/>
                <w:szCs w:val="22"/>
              </w:rPr>
              <w:t xml:space="preserve">Annex 1 – </w:t>
            </w:r>
            <w:hyperlink r:id="rId49" w:history="1">
              <w:r w:rsidRPr="00E42206">
                <w:rPr>
                  <w:rStyle w:val="Hyperlink"/>
                  <w:sz w:val="22"/>
                  <w:szCs w:val="22"/>
                </w:rPr>
                <w:t>Online IWRM Survey Tool</w:t>
              </w:r>
            </w:hyperlink>
            <w:r w:rsidRPr="00E42206">
              <w:rPr>
                <w:sz w:val="22"/>
                <w:szCs w:val="22"/>
              </w:rPr>
              <w:br/>
            </w:r>
            <w:r w:rsidRPr="00E42206">
              <w:rPr>
                <w:color w:val="12354E" w:themeColor="accent1" w:themeShade="BF"/>
                <w:sz w:val="22"/>
                <w:szCs w:val="22"/>
              </w:rPr>
              <w:t xml:space="preserve">Annex 2 – </w:t>
            </w:r>
            <w:hyperlink r:id="rId50" w:history="1">
              <w:r w:rsidRPr="00E42206">
                <w:rPr>
                  <w:rStyle w:val="Hyperlink"/>
                  <w:sz w:val="22"/>
                  <w:szCs w:val="22"/>
                </w:rPr>
                <w:t>Example Workshop Agenda</w:t>
              </w:r>
            </w:hyperlink>
            <w:r w:rsidRPr="00E42206">
              <w:rPr>
                <w:color w:val="12354E" w:themeColor="accent1" w:themeShade="BF"/>
                <w:sz w:val="22"/>
                <w:szCs w:val="22"/>
              </w:rPr>
              <w:t xml:space="preserve"> </w:t>
            </w:r>
            <w:r w:rsidRPr="00E42206">
              <w:rPr>
                <w:sz w:val="22"/>
                <w:szCs w:val="22"/>
              </w:rPr>
              <w:br/>
            </w:r>
            <w:r w:rsidRPr="00E42206">
              <w:rPr>
                <w:color w:val="12354E" w:themeColor="accent1" w:themeShade="BF"/>
                <w:sz w:val="22"/>
                <w:szCs w:val="22"/>
              </w:rPr>
              <w:t xml:space="preserve">Annex 3 – </w:t>
            </w:r>
            <w:hyperlink r:id="rId51" w:history="1">
              <w:r w:rsidRPr="00E42206">
                <w:rPr>
                  <w:rStyle w:val="Hyperlink"/>
                  <w:sz w:val="22"/>
                  <w:szCs w:val="22"/>
                </w:rPr>
                <w:t>Optional Consultation Report Template</w:t>
              </w:r>
            </w:hyperlink>
            <w:r w:rsidRPr="00E42206">
              <w:rPr>
                <w:sz w:val="22"/>
                <w:szCs w:val="22"/>
              </w:rPr>
              <w:br/>
            </w:r>
            <w:r w:rsidRPr="00E42206">
              <w:rPr>
                <w:color w:val="12354E" w:themeColor="accent1" w:themeShade="BF"/>
                <w:sz w:val="22"/>
                <w:szCs w:val="22"/>
              </w:rPr>
              <w:t xml:space="preserve">Annex 4 – </w:t>
            </w:r>
            <w:hyperlink r:id="rId52" w:history="1">
              <w:r w:rsidRPr="00E42206">
                <w:rPr>
                  <w:rStyle w:val="Hyperlink"/>
                  <w:sz w:val="22"/>
                  <w:szCs w:val="22"/>
                </w:rPr>
                <w:t xml:space="preserve">Example Facilitator </w:t>
              </w:r>
              <w:proofErr w:type="spellStart"/>
              <w:r w:rsidRPr="00E42206">
                <w:rPr>
                  <w:rStyle w:val="Hyperlink"/>
                  <w:sz w:val="22"/>
                  <w:szCs w:val="22"/>
                </w:rPr>
                <w:t>ToR</w:t>
              </w:r>
              <w:proofErr w:type="spellEnd"/>
            </w:hyperlink>
            <w:r w:rsidRPr="00E42206">
              <w:rPr>
                <w:color w:val="12354E" w:themeColor="accent1" w:themeShade="BF"/>
                <w:sz w:val="22"/>
                <w:szCs w:val="22"/>
              </w:rPr>
              <w:t xml:space="preserve"> </w:t>
            </w:r>
          </w:p>
        </w:tc>
      </w:tr>
      <w:tr w:rsidR="003E6826" w:rsidRPr="003E6826" w14:paraId="1D5F6DA3" w14:textId="77777777" w:rsidTr="568FBF53">
        <w:trPr>
          <w:trHeight w:val="290"/>
        </w:trPr>
        <w:tc>
          <w:tcPr>
            <w:tcW w:w="2175" w:type="dxa"/>
          </w:tcPr>
          <w:p w14:paraId="5DA636F9" w14:textId="3F8C1A0E" w:rsidR="00970943" w:rsidRPr="00E42206" w:rsidRDefault="00D55C79" w:rsidP="568FBF53">
            <w:pPr>
              <w:spacing w:before="20" w:after="20"/>
              <w:rPr>
                <w:color w:val="12354E" w:themeColor="accent1" w:themeShade="BF"/>
                <w:sz w:val="22"/>
                <w:szCs w:val="22"/>
              </w:rPr>
            </w:pPr>
            <w:hyperlink r:id="rId53" w:history="1">
              <w:r w:rsidR="00970943" w:rsidRPr="00E42206">
                <w:rPr>
                  <w:rStyle w:val="Hyperlink"/>
                  <w:sz w:val="22"/>
                  <w:szCs w:val="22"/>
                </w:rPr>
                <w:t>Training for Facilitators course for SDG 6.5.1</w:t>
              </w:r>
            </w:hyperlink>
          </w:p>
        </w:tc>
        <w:tc>
          <w:tcPr>
            <w:tcW w:w="5380" w:type="dxa"/>
          </w:tcPr>
          <w:p w14:paraId="4C97DED9" w14:textId="77777777" w:rsidR="00970943" w:rsidRPr="00E42206" w:rsidRDefault="00970943" w:rsidP="568FBF53">
            <w:pPr>
              <w:spacing w:before="20" w:after="20"/>
              <w:rPr>
                <w:color w:val="12354E" w:themeColor="accent1" w:themeShade="BF"/>
                <w:sz w:val="22"/>
                <w:szCs w:val="22"/>
              </w:rPr>
            </w:pPr>
            <w:r w:rsidRPr="00E42206">
              <w:rPr>
                <w:color w:val="12354E" w:themeColor="accent1" w:themeShade="BF"/>
                <w:sz w:val="22"/>
                <w:szCs w:val="22"/>
              </w:rPr>
              <w:t>Self-paced, free, online course (4-6hrs commitment)</w:t>
            </w:r>
          </w:p>
        </w:tc>
        <w:tc>
          <w:tcPr>
            <w:tcW w:w="1440" w:type="dxa"/>
          </w:tcPr>
          <w:p w14:paraId="794D165A" w14:textId="77777777" w:rsidR="00970943" w:rsidRPr="00E42206" w:rsidRDefault="00970943" w:rsidP="568FBF53">
            <w:pPr>
              <w:spacing w:before="20" w:after="20"/>
              <w:rPr>
                <w:color w:val="12354E" w:themeColor="accent1" w:themeShade="BF"/>
                <w:sz w:val="22"/>
                <w:szCs w:val="22"/>
              </w:rPr>
            </w:pPr>
            <w:r w:rsidRPr="00E42206">
              <w:rPr>
                <w:color w:val="12354E" w:themeColor="accent1" w:themeShade="BF"/>
                <w:sz w:val="22"/>
                <w:szCs w:val="22"/>
              </w:rPr>
              <w:t>EN, ES, FR</w:t>
            </w:r>
          </w:p>
        </w:tc>
      </w:tr>
      <w:tr w:rsidR="003E6826" w:rsidRPr="003E6826" w14:paraId="56E3A64E" w14:textId="77777777" w:rsidTr="568FBF53">
        <w:trPr>
          <w:trHeight w:val="596"/>
        </w:trPr>
        <w:tc>
          <w:tcPr>
            <w:tcW w:w="2175" w:type="dxa"/>
          </w:tcPr>
          <w:p w14:paraId="70FDD244" w14:textId="77777777" w:rsidR="00970943" w:rsidRPr="00E42206" w:rsidRDefault="00970943" w:rsidP="568FBF53">
            <w:pPr>
              <w:spacing w:before="20" w:after="20"/>
              <w:rPr>
                <w:color w:val="12354E" w:themeColor="accent1" w:themeShade="BF"/>
                <w:sz w:val="22"/>
                <w:szCs w:val="22"/>
              </w:rPr>
            </w:pPr>
            <w:r w:rsidRPr="00E42206">
              <w:rPr>
                <w:color w:val="12354E" w:themeColor="accent1" w:themeShade="BF"/>
                <w:sz w:val="22"/>
                <w:szCs w:val="22"/>
              </w:rPr>
              <w:t>Support Package</w:t>
            </w:r>
          </w:p>
        </w:tc>
        <w:tc>
          <w:tcPr>
            <w:tcW w:w="5380" w:type="dxa"/>
          </w:tcPr>
          <w:p w14:paraId="5478628E" w14:textId="07DF1947" w:rsidR="00970943" w:rsidRPr="00E42206" w:rsidRDefault="00970943" w:rsidP="568FBF53">
            <w:pPr>
              <w:spacing w:before="20" w:after="20"/>
              <w:rPr>
                <w:color w:val="12354E" w:themeColor="accent1" w:themeShade="BF"/>
                <w:sz w:val="22"/>
                <w:szCs w:val="22"/>
              </w:rPr>
            </w:pPr>
            <w:r w:rsidRPr="00E42206">
              <w:rPr>
                <w:color w:val="12354E" w:themeColor="accent1" w:themeShade="BF"/>
                <w:sz w:val="22"/>
                <w:szCs w:val="22"/>
              </w:rPr>
              <w:t xml:space="preserve">On request, for those countries receiving technical/financial support through the </w:t>
            </w:r>
            <w:hyperlink r:id="rId54">
              <w:r w:rsidRPr="00E42206">
                <w:rPr>
                  <w:rStyle w:val="Hyperlink"/>
                  <w:sz w:val="22"/>
                  <w:szCs w:val="22"/>
                </w:rPr>
                <w:t>SDG 6 IWRM Support Programme</w:t>
              </w:r>
            </w:hyperlink>
            <w:r w:rsidRPr="00E42206">
              <w:rPr>
                <w:rStyle w:val="Hyperlink"/>
                <w:color w:val="12354E" w:themeColor="accent1" w:themeShade="BF"/>
                <w:sz w:val="22"/>
                <w:szCs w:val="22"/>
              </w:rPr>
              <w:t xml:space="preserve">.** </w:t>
            </w:r>
          </w:p>
        </w:tc>
        <w:tc>
          <w:tcPr>
            <w:tcW w:w="1440" w:type="dxa"/>
          </w:tcPr>
          <w:p w14:paraId="2969B223" w14:textId="77777777" w:rsidR="00970943" w:rsidRPr="00E42206" w:rsidRDefault="00970943" w:rsidP="568FBF53">
            <w:pPr>
              <w:spacing w:before="20" w:after="20"/>
              <w:rPr>
                <w:color w:val="12354E" w:themeColor="accent1" w:themeShade="BF"/>
                <w:sz w:val="22"/>
                <w:szCs w:val="22"/>
              </w:rPr>
            </w:pPr>
            <w:r w:rsidRPr="00E42206">
              <w:rPr>
                <w:color w:val="12354E" w:themeColor="accent1" w:themeShade="BF"/>
                <w:sz w:val="22"/>
                <w:szCs w:val="22"/>
              </w:rPr>
              <w:t>EN, ES, FR</w:t>
            </w:r>
          </w:p>
        </w:tc>
      </w:tr>
    </w:tbl>
    <w:p w14:paraId="09716BC0" w14:textId="77777777" w:rsidR="00970943" w:rsidRPr="008F0647" w:rsidRDefault="00970943" w:rsidP="00E42206">
      <w:pPr>
        <w:pStyle w:val="Body"/>
        <w:spacing w:after="120"/>
        <w:jc w:val="both"/>
        <w:rPr>
          <w:sz w:val="20"/>
          <w:szCs w:val="20"/>
          <w:lang w:val="en-GB"/>
        </w:rPr>
      </w:pPr>
      <w:r w:rsidRPr="008F0647">
        <w:rPr>
          <w:sz w:val="20"/>
          <w:szCs w:val="20"/>
          <w:lang w:val="en-GB"/>
        </w:rPr>
        <w:t>* All materials are available in English, French, Spanish, Arabic, Portuguese, Russian, and Chinese, unless stated otherwise.</w:t>
      </w:r>
    </w:p>
    <w:p w14:paraId="17007F8C" w14:textId="5F3F487D" w:rsidR="00970943" w:rsidRPr="004303E9" w:rsidRDefault="00970943" w:rsidP="00E42206">
      <w:pPr>
        <w:pStyle w:val="Body"/>
        <w:spacing w:after="120"/>
        <w:jc w:val="both"/>
        <w:rPr>
          <w:sz w:val="20"/>
          <w:szCs w:val="20"/>
          <w:lang w:val="en-GB"/>
        </w:rPr>
      </w:pPr>
      <w:r w:rsidRPr="568FBF53">
        <w:rPr>
          <w:sz w:val="20"/>
          <w:szCs w:val="20"/>
          <w:lang w:val="en-GB"/>
        </w:rPr>
        <w:t>** The Support Package makes use of many of the other supporting materials in this table, as well as providing additional guidance on engaging a facilitator, and specifying other requirements for receiving financial assistance.</w:t>
      </w:r>
    </w:p>
    <w:p w14:paraId="766FE403" w14:textId="26FD317B" w:rsidR="00970943" w:rsidRDefault="00970943" w:rsidP="568FBF53">
      <w:pPr>
        <w:pStyle w:val="Heading2"/>
      </w:pPr>
      <w:bookmarkStart w:id="1" w:name="_ANNEX_2:_DIFFERENCES"/>
      <w:bookmarkEnd w:id="1"/>
      <w:r w:rsidRPr="568FBF53">
        <w:lastRenderedPageBreak/>
        <w:t>ANNEX 2: DIFFERENCES IN THE SURVEY BETWEEN REPORTING ROUNDS</w:t>
      </w:r>
    </w:p>
    <w:tbl>
      <w:tblPr>
        <w:tblW w:w="9037" w:type="dxa"/>
        <w:tblInd w:w="-1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Look w:val="04A0" w:firstRow="1" w:lastRow="0" w:firstColumn="1" w:lastColumn="0" w:noHBand="0" w:noVBand="1"/>
      </w:tblPr>
      <w:tblGrid>
        <w:gridCol w:w="2262"/>
        <w:gridCol w:w="4386"/>
        <w:gridCol w:w="2389"/>
      </w:tblGrid>
      <w:tr w:rsidR="00970943" w:rsidRPr="00C30048" w14:paraId="4BE55399" w14:textId="77777777" w:rsidTr="568FBF53">
        <w:trPr>
          <w:trHeight w:val="181"/>
        </w:trPr>
        <w:tc>
          <w:tcPr>
            <w:tcW w:w="2262" w:type="dxa"/>
            <w:shd w:val="clear" w:color="auto" w:fill="194869" w:themeFill="accent1"/>
            <w:hideMark/>
          </w:tcPr>
          <w:p w14:paraId="6752DADF" w14:textId="77777777" w:rsidR="00970943" w:rsidRPr="00C457FA" w:rsidRDefault="00970943" w:rsidP="568FBF53">
            <w:pPr>
              <w:spacing w:before="20" w:after="20"/>
              <w:textAlignment w:val="baseline"/>
              <w:rPr>
                <w:rFonts w:ascii="Segoe UI" w:eastAsia="Times New Roman" w:hAnsi="Segoe UI" w:cs="Segoe UI"/>
                <w:color w:val="20A6CA" w:themeColor="accent2"/>
                <w:sz w:val="22"/>
                <w:szCs w:val="22"/>
              </w:rPr>
            </w:pPr>
            <w:r w:rsidRPr="568FBF53">
              <w:rPr>
                <w:rFonts w:ascii="Calibri" w:eastAsia="Times New Roman" w:hAnsi="Calibri" w:cs="Calibri"/>
                <w:b/>
                <w:bCs/>
                <w:color w:val="FFFFFF" w:themeColor="background1"/>
                <w:sz w:val="22"/>
                <w:szCs w:val="22"/>
              </w:rPr>
              <w:t>2017</w:t>
            </w:r>
            <w:r w:rsidRPr="568FBF53">
              <w:rPr>
                <w:rFonts w:ascii="Calibri" w:eastAsia="Times New Roman" w:hAnsi="Calibri" w:cs="Calibri"/>
                <w:color w:val="FFFFFF" w:themeColor="background1"/>
                <w:sz w:val="22"/>
                <w:szCs w:val="22"/>
              </w:rPr>
              <w:t> </w:t>
            </w:r>
          </w:p>
        </w:tc>
        <w:tc>
          <w:tcPr>
            <w:tcW w:w="4386" w:type="dxa"/>
            <w:shd w:val="clear" w:color="auto" w:fill="194869" w:themeFill="accent1"/>
            <w:hideMark/>
          </w:tcPr>
          <w:p w14:paraId="70A37892" w14:textId="77777777" w:rsidR="00970943" w:rsidRPr="00C457FA" w:rsidRDefault="00970943" w:rsidP="568FBF53">
            <w:pPr>
              <w:spacing w:before="20" w:after="20"/>
              <w:textAlignment w:val="baseline"/>
              <w:rPr>
                <w:rFonts w:ascii="Segoe UI" w:eastAsia="Times New Roman" w:hAnsi="Segoe UI" w:cs="Segoe UI"/>
                <w:color w:val="20A6CA" w:themeColor="accent2"/>
                <w:sz w:val="22"/>
                <w:szCs w:val="22"/>
              </w:rPr>
            </w:pPr>
            <w:r w:rsidRPr="568FBF53">
              <w:rPr>
                <w:rFonts w:ascii="Calibri" w:eastAsia="Times New Roman" w:hAnsi="Calibri" w:cs="Calibri"/>
                <w:b/>
                <w:bCs/>
                <w:color w:val="FFFFFF" w:themeColor="background1"/>
                <w:sz w:val="22"/>
                <w:szCs w:val="22"/>
              </w:rPr>
              <w:t>2020</w:t>
            </w:r>
            <w:r w:rsidRPr="568FBF53">
              <w:rPr>
                <w:rFonts w:ascii="Calibri" w:eastAsia="Times New Roman" w:hAnsi="Calibri" w:cs="Calibri"/>
                <w:color w:val="FFFFFF" w:themeColor="background1"/>
                <w:sz w:val="22"/>
                <w:szCs w:val="22"/>
              </w:rPr>
              <w:t> </w:t>
            </w:r>
          </w:p>
        </w:tc>
        <w:tc>
          <w:tcPr>
            <w:tcW w:w="2389" w:type="dxa"/>
            <w:shd w:val="clear" w:color="auto" w:fill="194869" w:themeFill="accent1"/>
          </w:tcPr>
          <w:p w14:paraId="4A5577E4" w14:textId="77777777" w:rsidR="00970943" w:rsidRPr="00C457FA" w:rsidRDefault="00970943" w:rsidP="568FBF53">
            <w:pPr>
              <w:spacing w:before="20" w:after="20"/>
              <w:textAlignment w:val="baseline"/>
              <w:rPr>
                <w:rFonts w:ascii="Calibri" w:eastAsia="Times New Roman" w:hAnsi="Calibri" w:cs="Calibri"/>
                <w:b/>
                <w:bCs/>
                <w:color w:val="20A6CA" w:themeColor="accent2"/>
                <w:sz w:val="22"/>
                <w:szCs w:val="22"/>
              </w:rPr>
            </w:pPr>
            <w:r w:rsidRPr="568FBF53">
              <w:rPr>
                <w:rFonts w:ascii="Calibri" w:eastAsia="Times New Roman" w:hAnsi="Calibri" w:cs="Calibri"/>
                <w:b/>
                <w:bCs/>
                <w:color w:val="FFFFFF" w:themeColor="background1"/>
                <w:sz w:val="22"/>
                <w:szCs w:val="22"/>
              </w:rPr>
              <w:t>2023</w:t>
            </w:r>
          </w:p>
        </w:tc>
      </w:tr>
      <w:tr w:rsidR="00970943" w:rsidRPr="00C30048" w14:paraId="091ADE76" w14:textId="77777777" w:rsidTr="568FBF53">
        <w:trPr>
          <w:trHeight w:val="286"/>
        </w:trPr>
        <w:tc>
          <w:tcPr>
            <w:tcW w:w="2262" w:type="dxa"/>
            <w:shd w:val="clear" w:color="auto" w:fill="auto"/>
            <w:hideMark/>
          </w:tcPr>
          <w:p w14:paraId="37C4F265" w14:textId="77777777" w:rsidR="00970943" w:rsidRPr="00C457FA" w:rsidRDefault="00970943" w:rsidP="568FBF53">
            <w:pPr>
              <w:spacing w:before="20" w:after="20"/>
              <w:textAlignment w:val="baseline"/>
              <w:rPr>
                <w:rFonts w:ascii="Segoe UI" w:eastAsia="Times New Roman" w:hAnsi="Segoe UI" w:cs="Segoe UI"/>
                <w:color w:val="12354E" w:themeColor="accent1" w:themeShade="BF"/>
                <w:sz w:val="22"/>
                <w:szCs w:val="22"/>
              </w:rPr>
            </w:pPr>
            <w:r w:rsidRPr="568FBF53">
              <w:rPr>
                <w:rFonts w:ascii="Calibri" w:eastAsia="Times New Roman" w:hAnsi="Calibri" w:cs="Calibri"/>
                <w:color w:val="12354E" w:themeColor="accent1" w:themeShade="BF"/>
                <w:sz w:val="22"/>
                <w:szCs w:val="22"/>
              </w:rPr>
              <w:t>Qs 1.2d &amp; 2.2f: sub-national laws and institutions respectively, for federal countries only.  </w:t>
            </w:r>
          </w:p>
        </w:tc>
        <w:tc>
          <w:tcPr>
            <w:tcW w:w="4386" w:type="dxa"/>
            <w:shd w:val="clear" w:color="auto" w:fill="auto"/>
            <w:hideMark/>
          </w:tcPr>
          <w:p w14:paraId="1993D00E" w14:textId="77777777" w:rsidR="00970943" w:rsidRPr="00C457FA" w:rsidRDefault="00970943" w:rsidP="568FBF53">
            <w:pPr>
              <w:spacing w:before="20" w:after="20"/>
              <w:textAlignment w:val="baseline"/>
              <w:rPr>
                <w:rFonts w:ascii="Segoe UI" w:eastAsia="Times New Roman" w:hAnsi="Segoe UI" w:cs="Segoe UI"/>
                <w:color w:val="12354E" w:themeColor="accent1" w:themeShade="BF"/>
                <w:sz w:val="22"/>
                <w:szCs w:val="22"/>
              </w:rPr>
            </w:pPr>
            <w:r w:rsidRPr="568FBF53">
              <w:rPr>
                <w:rFonts w:ascii="Calibri" w:eastAsia="Times New Roman" w:hAnsi="Calibri" w:cs="Calibri"/>
                <w:color w:val="12354E" w:themeColor="accent1" w:themeShade="BF"/>
                <w:sz w:val="22"/>
                <w:szCs w:val="22"/>
              </w:rPr>
              <w:t>The revised questions 1.2d &amp; 2.2f were opened to all countries, acknowledging that many countries have sub-national regulations and authorities, even if the countries are not federal.  </w:t>
            </w:r>
          </w:p>
        </w:tc>
        <w:tc>
          <w:tcPr>
            <w:tcW w:w="2389" w:type="dxa"/>
          </w:tcPr>
          <w:p w14:paraId="56A167E0" w14:textId="77777777" w:rsidR="00970943" w:rsidRPr="00C457FA" w:rsidRDefault="00970943" w:rsidP="568FBF53">
            <w:pPr>
              <w:spacing w:before="20" w:after="20"/>
              <w:textAlignment w:val="baseline"/>
              <w:rPr>
                <w:rFonts w:ascii="Calibri" w:eastAsia="Times New Roman" w:hAnsi="Calibri" w:cs="Calibri"/>
                <w:color w:val="12354E" w:themeColor="accent1" w:themeShade="BF"/>
                <w:sz w:val="22"/>
                <w:szCs w:val="22"/>
              </w:rPr>
            </w:pPr>
            <w:r w:rsidRPr="568FBF53">
              <w:rPr>
                <w:rFonts w:ascii="Calibri" w:eastAsia="Times New Roman" w:hAnsi="Calibri" w:cs="Calibri"/>
                <w:color w:val="12354E" w:themeColor="accent1" w:themeShade="BF"/>
                <w:sz w:val="22"/>
                <w:szCs w:val="22"/>
              </w:rPr>
              <w:t>As per 2020.</w:t>
            </w:r>
          </w:p>
        </w:tc>
      </w:tr>
      <w:tr w:rsidR="00970943" w:rsidRPr="00C30048" w14:paraId="3EE9DD31" w14:textId="77777777" w:rsidTr="568FBF53">
        <w:trPr>
          <w:trHeight w:val="716"/>
        </w:trPr>
        <w:tc>
          <w:tcPr>
            <w:tcW w:w="2262" w:type="dxa"/>
            <w:shd w:val="clear" w:color="auto" w:fill="auto"/>
            <w:hideMark/>
          </w:tcPr>
          <w:p w14:paraId="66D4FF6D" w14:textId="77777777" w:rsidR="00970943" w:rsidRPr="00C457FA" w:rsidRDefault="00970943" w:rsidP="568FBF53">
            <w:pPr>
              <w:spacing w:before="20" w:after="20"/>
              <w:textAlignment w:val="baseline"/>
              <w:rPr>
                <w:rFonts w:ascii="Segoe UI" w:eastAsia="Times New Roman" w:hAnsi="Segoe UI" w:cs="Segoe UI"/>
                <w:color w:val="12354E" w:themeColor="accent1" w:themeShade="BF"/>
                <w:sz w:val="22"/>
                <w:szCs w:val="22"/>
              </w:rPr>
            </w:pPr>
            <w:r w:rsidRPr="568FBF53">
              <w:rPr>
                <w:rFonts w:ascii="Calibri" w:eastAsia="Times New Roman" w:hAnsi="Calibri" w:cs="Calibri"/>
                <w:color w:val="12354E" w:themeColor="accent1" w:themeShade="BF"/>
                <w:sz w:val="22"/>
                <w:szCs w:val="22"/>
              </w:rPr>
              <w:t>Qs 2.1e, 2.2c &amp; 2.2d: gender at national, sub-national and transboundary levels. </w:t>
            </w:r>
          </w:p>
        </w:tc>
        <w:tc>
          <w:tcPr>
            <w:tcW w:w="4386" w:type="dxa"/>
            <w:shd w:val="clear" w:color="auto" w:fill="auto"/>
            <w:hideMark/>
          </w:tcPr>
          <w:p w14:paraId="1457D909" w14:textId="77777777" w:rsidR="00970943" w:rsidRPr="00C457FA" w:rsidRDefault="00970943" w:rsidP="568FBF53">
            <w:pPr>
              <w:spacing w:before="20" w:after="20"/>
              <w:textAlignment w:val="baseline"/>
              <w:rPr>
                <w:rFonts w:ascii="Segoe UI" w:eastAsia="Times New Roman" w:hAnsi="Segoe UI" w:cs="Segoe UI"/>
                <w:color w:val="12354E" w:themeColor="accent1" w:themeShade="BF"/>
                <w:sz w:val="22"/>
                <w:szCs w:val="22"/>
              </w:rPr>
            </w:pPr>
            <w:r w:rsidRPr="568FBF53">
              <w:rPr>
                <w:rFonts w:ascii="Calibri" w:eastAsia="Times New Roman" w:hAnsi="Calibri" w:cs="Calibri"/>
                <w:color w:val="12354E" w:themeColor="accent1" w:themeShade="BF"/>
                <w:sz w:val="22"/>
                <w:szCs w:val="22"/>
              </w:rPr>
              <w:t>These three questions were merged into a single question 2.2d. In the baseline, most countries reported the same or similar scores at each level, so three questions did not add significant value. The merging of these three questions created space for two additional questions (see below). </w:t>
            </w:r>
          </w:p>
        </w:tc>
        <w:tc>
          <w:tcPr>
            <w:tcW w:w="2389" w:type="dxa"/>
          </w:tcPr>
          <w:p w14:paraId="092DD8FB" w14:textId="77777777" w:rsidR="00970943" w:rsidRPr="00C457FA" w:rsidRDefault="00970943" w:rsidP="568FBF53">
            <w:pPr>
              <w:spacing w:before="20" w:after="20"/>
              <w:textAlignment w:val="baseline"/>
              <w:rPr>
                <w:rFonts w:ascii="Calibri" w:eastAsia="Times New Roman" w:hAnsi="Calibri" w:cs="Calibri"/>
                <w:color w:val="12354E" w:themeColor="accent1" w:themeShade="BF"/>
                <w:sz w:val="22"/>
                <w:szCs w:val="22"/>
              </w:rPr>
            </w:pPr>
            <w:r w:rsidRPr="568FBF53">
              <w:rPr>
                <w:rFonts w:ascii="Calibri" w:eastAsia="Times New Roman" w:hAnsi="Calibri" w:cs="Calibri"/>
                <w:color w:val="12354E" w:themeColor="accent1" w:themeShade="BF"/>
                <w:sz w:val="22"/>
                <w:szCs w:val="22"/>
              </w:rPr>
              <w:t>As per 2020</w:t>
            </w:r>
          </w:p>
        </w:tc>
      </w:tr>
      <w:tr w:rsidR="00970943" w:rsidRPr="00C30048" w14:paraId="66B3A2C6" w14:textId="77777777" w:rsidTr="568FBF53">
        <w:trPr>
          <w:trHeight w:val="286"/>
        </w:trPr>
        <w:tc>
          <w:tcPr>
            <w:tcW w:w="2262" w:type="dxa"/>
            <w:shd w:val="clear" w:color="auto" w:fill="auto"/>
            <w:hideMark/>
          </w:tcPr>
          <w:p w14:paraId="2CD769A2" w14:textId="77777777" w:rsidR="00970943" w:rsidRPr="00C457FA" w:rsidRDefault="00970943" w:rsidP="568FBF53">
            <w:pPr>
              <w:spacing w:before="20" w:after="20"/>
              <w:textAlignment w:val="baseline"/>
              <w:rPr>
                <w:rFonts w:ascii="Segoe UI" w:eastAsia="Times New Roman" w:hAnsi="Segoe UI" w:cs="Segoe UI"/>
                <w:color w:val="12354E" w:themeColor="accent1" w:themeShade="BF"/>
                <w:sz w:val="22"/>
                <w:szCs w:val="22"/>
              </w:rPr>
            </w:pPr>
            <w:r w:rsidRPr="568FBF53">
              <w:rPr>
                <w:rFonts w:ascii="Calibri" w:eastAsia="Times New Roman" w:hAnsi="Calibri" w:cs="Calibri"/>
                <w:color w:val="12354E" w:themeColor="accent1" w:themeShade="BF"/>
                <w:sz w:val="22"/>
                <w:szCs w:val="22"/>
              </w:rPr>
              <w:t>- </w:t>
            </w:r>
          </w:p>
        </w:tc>
        <w:tc>
          <w:tcPr>
            <w:tcW w:w="4386" w:type="dxa"/>
            <w:shd w:val="clear" w:color="auto" w:fill="auto"/>
            <w:hideMark/>
          </w:tcPr>
          <w:p w14:paraId="5EFC349B" w14:textId="77777777" w:rsidR="00970943" w:rsidRPr="00C457FA" w:rsidRDefault="00970943" w:rsidP="568FBF53">
            <w:pPr>
              <w:spacing w:before="20" w:after="20"/>
              <w:textAlignment w:val="baseline"/>
              <w:rPr>
                <w:rFonts w:ascii="Segoe UI" w:eastAsia="Times New Roman" w:hAnsi="Segoe UI" w:cs="Segoe UI"/>
                <w:color w:val="12354E" w:themeColor="accent1" w:themeShade="BF"/>
                <w:sz w:val="22"/>
                <w:szCs w:val="22"/>
              </w:rPr>
            </w:pPr>
            <w:r w:rsidRPr="568FBF53">
              <w:rPr>
                <w:rFonts w:ascii="Calibri" w:eastAsia="Times New Roman" w:hAnsi="Calibri" w:cs="Calibri"/>
                <w:color w:val="12354E" w:themeColor="accent1" w:themeShade="BF"/>
                <w:sz w:val="22"/>
                <w:szCs w:val="22"/>
              </w:rPr>
              <w:t>New question 2.2d on vulnerable groups. This captures an element of stakeholder participation which is important in the context of ‘leave no-one behind’ – one of the key principles of Agenda 2030. </w:t>
            </w:r>
          </w:p>
        </w:tc>
        <w:tc>
          <w:tcPr>
            <w:tcW w:w="2389" w:type="dxa"/>
          </w:tcPr>
          <w:p w14:paraId="0C7B0676" w14:textId="77777777" w:rsidR="00970943" w:rsidRPr="00C457FA" w:rsidRDefault="00970943" w:rsidP="568FBF53">
            <w:pPr>
              <w:spacing w:before="20" w:after="20"/>
              <w:textAlignment w:val="baseline"/>
              <w:rPr>
                <w:rFonts w:ascii="Calibri" w:eastAsia="Times New Roman" w:hAnsi="Calibri" w:cs="Calibri"/>
                <w:color w:val="12354E" w:themeColor="accent1" w:themeShade="BF"/>
                <w:sz w:val="22"/>
                <w:szCs w:val="22"/>
              </w:rPr>
            </w:pPr>
            <w:r w:rsidRPr="568FBF53">
              <w:rPr>
                <w:rFonts w:ascii="Calibri" w:eastAsia="Times New Roman" w:hAnsi="Calibri" w:cs="Calibri"/>
                <w:color w:val="12354E" w:themeColor="accent1" w:themeShade="BF"/>
                <w:sz w:val="22"/>
                <w:szCs w:val="22"/>
              </w:rPr>
              <w:t>As per 2020.</w:t>
            </w:r>
          </w:p>
        </w:tc>
      </w:tr>
      <w:tr w:rsidR="00970943" w:rsidRPr="00C30048" w14:paraId="0D8F8378" w14:textId="77777777" w:rsidTr="568FBF53">
        <w:trPr>
          <w:trHeight w:val="286"/>
        </w:trPr>
        <w:tc>
          <w:tcPr>
            <w:tcW w:w="2262" w:type="dxa"/>
            <w:shd w:val="clear" w:color="auto" w:fill="auto"/>
            <w:hideMark/>
          </w:tcPr>
          <w:p w14:paraId="147871D4" w14:textId="77777777" w:rsidR="00970943" w:rsidRPr="00C457FA" w:rsidRDefault="00970943" w:rsidP="568FBF53">
            <w:pPr>
              <w:spacing w:before="20" w:after="20"/>
              <w:textAlignment w:val="baseline"/>
              <w:rPr>
                <w:rFonts w:ascii="Segoe UI" w:eastAsia="Times New Roman" w:hAnsi="Segoe UI" w:cs="Segoe UI"/>
                <w:color w:val="12354E" w:themeColor="accent1" w:themeShade="BF"/>
                <w:sz w:val="22"/>
                <w:szCs w:val="22"/>
              </w:rPr>
            </w:pPr>
            <w:r w:rsidRPr="568FBF53">
              <w:rPr>
                <w:rFonts w:ascii="Calibri" w:eastAsia="Times New Roman" w:hAnsi="Calibri" w:cs="Calibri"/>
                <w:color w:val="12354E" w:themeColor="accent1" w:themeShade="BF"/>
                <w:sz w:val="22"/>
                <w:szCs w:val="22"/>
              </w:rPr>
              <w:t>- </w:t>
            </w:r>
          </w:p>
        </w:tc>
        <w:tc>
          <w:tcPr>
            <w:tcW w:w="4386" w:type="dxa"/>
            <w:shd w:val="clear" w:color="auto" w:fill="auto"/>
            <w:hideMark/>
          </w:tcPr>
          <w:p w14:paraId="6BB39B12" w14:textId="77777777" w:rsidR="00970943" w:rsidRPr="00C457FA" w:rsidRDefault="00970943" w:rsidP="568FBF53">
            <w:pPr>
              <w:spacing w:before="20" w:after="20"/>
              <w:textAlignment w:val="baseline"/>
              <w:rPr>
                <w:rFonts w:ascii="Segoe UI" w:eastAsia="Times New Roman" w:hAnsi="Segoe UI" w:cs="Segoe UI"/>
                <w:color w:val="12354E" w:themeColor="accent1" w:themeShade="BF"/>
                <w:sz w:val="22"/>
                <w:szCs w:val="22"/>
              </w:rPr>
            </w:pPr>
            <w:r w:rsidRPr="568FBF53">
              <w:rPr>
                <w:rFonts w:ascii="Calibri" w:eastAsia="Times New Roman" w:hAnsi="Calibri" w:cs="Calibri"/>
                <w:color w:val="12354E" w:themeColor="accent1" w:themeShade="BF"/>
                <w:sz w:val="22"/>
                <w:szCs w:val="22"/>
              </w:rPr>
              <w:t>New question 4.2d on sub-national or basin budgets for IWRM elements, acknowledging the importance of funding being available at more ‘operational’ levels. </w:t>
            </w:r>
          </w:p>
        </w:tc>
        <w:tc>
          <w:tcPr>
            <w:tcW w:w="2389" w:type="dxa"/>
          </w:tcPr>
          <w:p w14:paraId="6450DF33" w14:textId="77777777" w:rsidR="00970943" w:rsidRPr="00C457FA" w:rsidRDefault="00970943" w:rsidP="568FBF53">
            <w:pPr>
              <w:spacing w:before="20" w:after="20"/>
              <w:textAlignment w:val="baseline"/>
              <w:rPr>
                <w:rFonts w:ascii="Calibri" w:eastAsia="Times New Roman" w:hAnsi="Calibri" w:cs="Calibri"/>
                <w:color w:val="12354E" w:themeColor="accent1" w:themeShade="BF"/>
                <w:sz w:val="22"/>
                <w:szCs w:val="22"/>
              </w:rPr>
            </w:pPr>
            <w:r w:rsidRPr="568FBF53">
              <w:rPr>
                <w:rFonts w:ascii="Calibri" w:eastAsia="Times New Roman" w:hAnsi="Calibri" w:cs="Calibri"/>
                <w:color w:val="12354E" w:themeColor="accent1" w:themeShade="BF"/>
                <w:sz w:val="22"/>
                <w:szCs w:val="22"/>
              </w:rPr>
              <w:t>As per 2020.</w:t>
            </w:r>
          </w:p>
        </w:tc>
      </w:tr>
      <w:tr w:rsidR="00970943" w:rsidRPr="00C30048" w14:paraId="53E14CC5" w14:textId="77777777" w:rsidTr="568FBF53">
        <w:trPr>
          <w:trHeight w:val="286"/>
        </w:trPr>
        <w:tc>
          <w:tcPr>
            <w:tcW w:w="2262" w:type="dxa"/>
            <w:shd w:val="clear" w:color="auto" w:fill="auto"/>
          </w:tcPr>
          <w:p w14:paraId="55B34133" w14:textId="77777777" w:rsidR="00970943" w:rsidRPr="00C457FA" w:rsidRDefault="00970943" w:rsidP="568FBF53">
            <w:pPr>
              <w:spacing w:before="20" w:after="20"/>
              <w:textAlignment w:val="baseline"/>
              <w:rPr>
                <w:rFonts w:ascii="Calibri" w:eastAsia="Times New Roman" w:hAnsi="Calibri" w:cs="Calibri"/>
                <w:color w:val="12354E" w:themeColor="accent1" w:themeShade="BF"/>
                <w:sz w:val="22"/>
                <w:szCs w:val="22"/>
              </w:rPr>
            </w:pPr>
            <w:r w:rsidRPr="568FBF53">
              <w:rPr>
                <w:rFonts w:ascii="Calibri" w:eastAsia="Times New Roman" w:hAnsi="Calibri" w:cs="Calibri"/>
                <w:color w:val="12354E" w:themeColor="accent1" w:themeShade="BF"/>
                <w:sz w:val="22"/>
                <w:szCs w:val="22"/>
              </w:rPr>
              <w:t>-</w:t>
            </w:r>
          </w:p>
        </w:tc>
        <w:tc>
          <w:tcPr>
            <w:tcW w:w="4386" w:type="dxa"/>
            <w:shd w:val="clear" w:color="auto" w:fill="auto"/>
          </w:tcPr>
          <w:p w14:paraId="58D91A9E" w14:textId="77777777" w:rsidR="00970943" w:rsidRPr="00C457FA" w:rsidRDefault="00970943" w:rsidP="568FBF53">
            <w:pPr>
              <w:spacing w:before="20" w:after="20"/>
              <w:textAlignment w:val="baseline"/>
              <w:rPr>
                <w:rFonts w:ascii="Calibri" w:eastAsia="Times New Roman" w:hAnsi="Calibri" w:cs="Calibri"/>
                <w:color w:val="12354E" w:themeColor="accent1" w:themeShade="BF"/>
                <w:sz w:val="22"/>
                <w:szCs w:val="22"/>
              </w:rPr>
            </w:pPr>
            <w:r w:rsidRPr="568FBF53">
              <w:rPr>
                <w:rFonts w:ascii="Calibri" w:eastAsia="Times New Roman" w:hAnsi="Calibri" w:cs="Calibri"/>
                <w:color w:val="12354E" w:themeColor="accent1" w:themeShade="BF"/>
                <w:sz w:val="22"/>
                <w:szCs w:val="22"/>
              </w:rPr>
              <w:t>-</w:t>
            </w:r>
          </w:p>
        </w:tc>
        <w:tc>
          <w:tcPr>
            <w:tcW w:w="2389" w:type="dxa"/>
          </w:tcPr>
          <w:p w14:paraId="1BDEF81E" w14:textId="77777777" w:rsidR="00970943" w:rsidRPr="00C457FA" w:rsidRDefault="00970943" w:rsidP="568FBF53">
            <w:pPr>
              <w:spacing w:before="20" w:after="20"/>
              <w:textAlignment w:val="baseline"/>
              <w:rPr>
                <w:rFonts w:ascii="Calibri" w:eastAsia="Times New Roman" w:hAnsi="Calibri" w:cs="Calibri"/>
                <w:color w:val="12354E" w:themeColor="accent1" w:themeShade="BF"/>
                <w:sz w:val="22"/>
                <w:szCs w:val="22"/>
              </w:rPr>
            </w:pPr>
            <w:r w:rsidRPr="568FBF53">
              <w:rPr>
                <w:rFonts w:ascii="Calibri" w:eastAsia="Times New Roman" w:hAnsi="Calibri" w:cs="Calibri"/>
                <w:color w:val="12354E" w:themeColor="accent1" w:themeShade="BF"/>
                <w:sz w:val="22"/>
                <w:szCs w:val="22"/>
              </w:rPr>
              <w:t xml:space="preserve">Additional free-text field on “climate change considerations” for questions </w:t>
            </w:r>
            <w:r w:rsidRPr="568FBF53">
              <w:rPr>
                <w:rFonts w:ascii="Calibri" w:eastAsia="Calibri" w:hAnsi="Calibri" w:cs="Calibri"/>
                <w:color w:val="12354E" w:themeColor="accent1" w:themeShade="BF"/>
                <w:sz w:val="22"/>
                <w:szCs w:val="22"/>
              </w:rPr>
              <w:t>1.1c, 2.1b, 2.1e, 3.1e, and 4.1b</w:t>
            </w:r>
            <w:proofErr w:type="gramStart"/>
            <w:r w:rsidRPr="568FBF53">
              <w:rPr>
                <w:rFonts w:ascii="Calibri" w:eastAsia="Calibri" w:hAnsi="Calibri" w:cs="Calibri"/>
                <w:color w:val="12354E" w:themeColor="accent1" w:themeShade="BF"/>
                <w:sz w:val="22"/>
                <w:szCs w:val="22"/>
              </w:rPr>
              <w:t xml:space="preserve">, </w:t>
            </w:r>
            <w:r w:rsidRPr="568FBF53">
              <w:rPr>
                <w:rFonts w:ascii="Calibri" w:eastAsia="Times New Roman" w:hAnsi="Calibri" w:cs="Calibri"/>
                <w:color w:val="12354E" w:themeColor="accent1" w:themeShade="BF"/>
                <w:sz w:val="22"/>
                <w:szCs w:val="22"/>
              </w:rPr>
              <w:t xml:space="preserve"> (</w:t>
            </w:r>
            <w:proofErr w:type="gramEnd"/>
            <w:r w:rsidRPr="568FBF53">
              <w:rPr>
                <w:rFonts w:ascii="Calibri" w:eastAsia="Times New Roman" w:hAnsi="Calibri" w:cs="Calibri"/>
                <w:color w:val="12354E" w:themeColor="accent1" w:themeShade="BF"/>
                <w:sz w:val="22"/>
                <w:szCs w:val="22"/>
              </w:rPr>
              <w:t xml:space="preserve">as described in the survey) </w:t>
            </w:r>
          </w:p>
        </w:tc>
      </w:tr>
    </w:tbl>
    <w:p w14:paraId="301BCB7C" w14:textId="77777777" w:rsidR="00E42206" w:rsidRDefault="00E42206" w:rsidP="00970943">
      <w:pPr>
        <w:pStyle w:val="Body"/>
        <w:jc w:val="both"/>
        <w:rPr>
          <w:lang w:val="en-GB"/>
        </w:rPr>
      </w:pPr>
    </w:p>
    <w:p w14:paraId="5A601585" w14:textId="559E2C71" w:rsidR="00847689" w:rsidRDefault="00970943" w:rsidP="00970943">
      <w:pPr>
        <w:pStyle w:val="Body"/>
        <w:jc w:val="both"/>
        <w:rPr>
          <w:lang w:val="en-GB"/>
        </w:rPr>
      </w:pPr>
      <w:r w:rsidRPr="568FBF53">
        <w:rPr>
          <w:lang w:val="en-GB"/>
        </w:rPr>
        <w:t xml:space="preserve">For clarity, minor amendments have been made </w:t>
      </w:r>
      <w:proofErr w:type="gramStart"/>
      <w:r w:rsidRPr="568FBF53">
        <w:rPr>
          <w:lang w:val="en-GB"/>
        </w:rPr>
        <w:t>to:</w:t>
      </w:r>
      <w:proofErr w:type="gramEnd"/>
      <w:r w:rsidRPr="568FBF53">
        <w:rPr>
          <w:lang w:val="en-GB"/>
        </w:rPr>
        <w:t xml:space="preserve"> some threshold descriptions; guidance in the free-text fields; glossary (Annex A of </w:t>
      </w:r>
      <w:r w:rsidR="00847689">
        <w:rPr>
          <w:lang w:val="en-GB"/>
        </w:rPr>
        <w:t>S</w:t>
      </w:r>
      <w:r w:rsidRPr="568FBF53">
        <w:rPr>
          <w:lang w:val="en-GB"/>
        </w:rPr>
        <w:t>urvey).</w:t>
      </w:r>
    </w:p>
    <w:p w14:paraId="4B1571B3" w14:textId="77777777" w:rsidR="00847689" w:rsidRDefault="00847689">
      <w:pPr>
        <w:rPr>
          <w:color w:val="12354E" w:themeColor="accent1" w:themeShade="BF"/>
        </w:rPr>
      </w:pPr>
      <w:r>
        <w:br w:type="page"/>
      </w:r>
    </w:p>
    <w:p w14:paraId="2661B812" w14:textId="77777777" w:rsidR="00970943" w:rsidRDefault="00970943" w:rsidP="00970943">
      <w:pPr>
        <w:pStyle w:val="Body"/>
        <w:jc w:val="both"/>
        <w:rPr>
          <w:lang w:val="en-GB"/>
        </w:rPr>
      </w:pPr>
    </w:p>
    <w:p w14:paraId="30505738" w14:textId="639D7F05" w:rsidR="00970943" w:rsidRDefault="00970943" w:rsidP="568FBF53">
      <w:pPr>
        <w:pStyle w:val="Heading2"/>
      </w:pPr>
      <w:bookmarkStart w:id="2" w:name="_ANNEX_3:_6.5.1"/>
      <w:bookmarkEnd w:id="2"/>
      <w:r w:rsidRPr="568FBF53">
        <w:t>ANNEX 3: 6.5.1 SURVEY LINKS TO OTHER SDG INDICATORS</w:t>
      </w:r>
    </w:p>
    <w:tbl>
      <w:tblPr>
        <w:tblW w:w="8992"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Look w:val="04A0" w:firstRow="1" w:lastRow="0" w:firstColumn="1" w:lastColumn="0" w:noHBand="0" w:noVBand="1"/>
      </w:tblPr>
      <w:tblGrid>
        <w:gridCol w:w="2073"/>
        <w:gridCol w:w="6919"/>
      </w:tblGrid>
      <w:tr w:rsidR="00970943" w:rsidRPr="00F87882" w14:paraId="05D63816" w14:textId="77777777" w:rsidTr="568FBF53">
        <w:trPr>
          <w:trHeight w:val="294"/>
        </w:trPr>
        <w:tc>
          <w:tcPr>
            <w:tcW w:w="2073" w:type="dxa"/>
            <w:shd w:val="clear" w:color="auto" w:fill="194869" w:themeFill="accent1"/>
            <w:vAlign w:val="center"/>
            <w:hideMark/>
          </w:tcPr>
          <w:p w14:paraId="5F9C51EA" w14:textId="77777777" w:rsidR="00970943" w:rsidRPr="00C457FA" w:rsidRDefault="00970943" w:rsidP="568FBF53">
            <w:pPr>
              <w:spacing w:before="60" w:after="60"/>
              <w:textAlignment w:val="baseline"/>
              <w:rPr>
                <w:rFonts w:ascii="Segoe UI" w:eastAsia="Times New Roman" w:hAnsi="Segoe UI" w:cs="Segoe UI"/>
                <w:color w:val="20A6CA" w:themeColor="accent2"/>
              </w:rPr>
            </w:pPr>
            <w:r w:rsidRPr="568FBF53">
              <w:rPr>
                <w:rFonts w:ascii="Calibri" w:eastAsia="Times New Roman" w:hAnsi="Calibri" w:cs="Calibri"/>
                <w:b/>
                <w:bCs/>
                <w:color w:val="FFFFFF" w:themeColor="background1"/>
              </w:rPr>
              <w:t>Survey question</w:t>
            </w:r>
            <w:r w:rsidRPr="568FBF53">
              <w:rPr>
                <w:rFonts w:ascii="Calibri" w:eastAsia="Times New Roman" w:hAnsi="Calibri" w:cs="Calibri"/>
                <w:color w:val="FFFFFF" w:themeColor="background1"/>
              </w:rPr>
              <w:t> </w:t>
            </w:r>
          </w:p>
        </w:tc>
        <w:tc>
          <w:tcPr>
            <w:tcW w:w="6919" w:type="dxa"/>
            <w:shd w:val="clear" w:color="auto" w:fill="194869" w:themeFill="accent1"/>
            <w:vAlign w:val="center"/>
            <w:hideMark/>
          </w:tcPr>
          <w:p w14:paraId="0AFF791E" w14:textId="77777777" w:rsidR="00970943" w:rsidRPr="00C457FA" w:rsidRDefault="00970943" w:rsidP="568FBF53">
            <w:pPr>
              <w:spacing w:before="60" w:after="60"/>
              <w:textAlignment w:val="baseline"/>
              <w:rPr>
                <w:rFonts w:ascii="Segoe UI" w:eastAsia="Times New Roman" w:hAnsi="Segoe UI" w:cs="Segoe UI"/>
                <w:color w:val="20A6CA" w:themeColor="accent2"/>
              </w:rPr>
            </w:pPr>
            <w:r w:rsidRPr="568FBF53">
              <w:rPr>
                <w:rFonts w:ascii="Calibri" w:eastAsia="Times New Roman" w:hAnsi="Calibri" w:cs="Calibri"/>
                <w:b/>
                <w:bCs/>
                <w:color w:val="FFFFFF" w:themeColor="background1"/>
              </w:rPr>
              <w:t>Linked to SDG target</w:t>
            </w:r>
            <w:r w:rsidRPr="568FBF53">
              <w:rPr>
                <w:rFonts w:ascii="Calibri" w:eastAsia="Times New Roman" w:hAnsi="Calibri" w:cs="Calibri"/>
                <w:color w:val="FFFFFF" w:themeColor="background1"/>
              </w:rPr>
              <w:t> </w:t>
            </w:r>
          </w:p>
        </w:tc>
      </w:tr>
      <w:tr w:rsidR="00970943" w:rsidRPr="00F87882" w14:paraId="15B8DDB2" w14:textId="77777777" w:rsidTr="568FBF53">
        <w:trPr>
          <w:trHeight w:val="294"/>
        </w:trPr>
        <w:tc>
          <w:tcPr>
            <w:tcW w:w="2073" w:type="dxa"/>
            <w:shd w:val="clear" w:color="auto" w:fill="auto"/>
            <w:vAlign w:val="center"/>
          </w:tcPr>
          <w:p w14:paraId="063262B6" w14:textId="77777777" w:rsidR="00970943" w:rsidRPr="00C457FA" w:rsidRDefault="00970943" w:rsidP="568FBF53">
            <w:pPr>
              <w:spacing w:before="60" w:after="60"/>
              <w:textAlignment w:val="baseline"/>
              <w:rPr>
                <w:rFonts w:ascii="Calibri" w:eastAsia="Times New Roman" w:hAnsi="Calibri" w:cs="Calibri"/>
                <w:color w:val="12354E" w:themeColor="accent1" w:themeShade="BF"/>
              </w:rPr>
            </w:pPr>
            <w:r w:rsidRPr="568FBF53">
              <w:rPr>
                <w:rFonts w:ascii="Calibri" w:eastAsia="Times New Roman" w:hAnsi="Calibri" w:cs="Calibri"/>
                <w:color w:val="12354E" w:themeColor="accent1" w:themeShade="BF"/>
              </w:rPr>
              <w:t>1.2c, 2.2e, 3.2d, 4.1c</w:t>
            </w:r>
          </w:p>
        </w:tc>
        <w:tc>
          <w:tcPr>
            <w:tcW w:w="6919" w:type="dxa"/>
            <w:shd w:val="clear" w:color="auto" w:fill="auto"/>
            <w:vAlign w:val="center"/>
          </w:tcPr>
          <w:p w14:paraId="560194DE" w14:textId="3A47B6FE" w:rsidR="00970943" w:rsidRPr="00C457FA" w:rsidRDefault="00970943" w:rsidP="568FBF53">
            <w:pPr>
              <w:spacing w:before="60" w:after="60"/>
              <w:textAlignment w:val="baseline"/>
              <w:rPr>
                <w:color w:val="12354E" w:themeColor="accent1" w:themeShade="BF"/>
              </w:rPr>
            </w:pPr>
            <w:r w:rsidRPr="568FBF53">
              <w:rPr>
                <w:color w:val="12354E" w:themeColor="accent1" w:themeShade="BF"/>
              </w:rPr>
              <w:t xml:space="preserve">Transboundary questions linked to SDG </w:t>
            </w:r>
            <w:hyperlink r:id="rId55">
              <w:r w:rsidRPr="568FBF53">
                <w:rPr>
                  <w:rStyle w:val="Hyperlink"/>
                  <w:color w:val="92D050"/>
                </w:rPr>
                <w:t>indicator 6.5.2</w:t>
              </w:r>
            </w:hyperlink>
            <w:r w:rsidRPr="568FBF53">
              <w:rPr>
                <w:color w:val="12354E" w:themeColor="accent1" w:themeShade="BF"/>
              </w:rPr>
              <w:t xml:space="preserve">. </w:t>
            </w:r>
          </w:p>
        </w:tc>
      </w:tr>
      <w:tr w:rsidR="00970943" w:rsidRPr="00F87882" w14:paraId="69AE4323" w14:textId="77777777" w:rsidTr="568FBF53">
        <w:trPr>
          <w:trHeight w:val="294"/>
        </w:trPr>
        <w:tc>
          <w:tcPr>
            <w:tcW w:w="2073" w:type="dxa"/>
            <w:shd w:val="clear" w:color="auto" w:fill="auto"/>
            <w:vAlign w:val="center"/>
            <w:hideMark/>
          </w:tcPr>
          <w:p w14:paraId="701DAF5B" w14:textId="77777777" w:rsidR="00970943" w:rsidRPr="00C457FA" w:rsidRDefault="00970943" w:rsidP="568FBF53">
            <w:pPr>
              <w:spacing w:before="60" w:after="60"/>
              <w:textAlignment w:val="baseline"/>
              <w:rPr>
                <w:rFonts w:ascii="Segoe UI" w:eastAsia="Times New Roman" w:hAnsi="Segoe UI" w:cs="Segoe UI"/>
                <w:color w:val="12354E" w:themeColor="accent1" w:themeShade="BF"/>
              </w:rPr>
            </w:pPr>
            <w:r w:rsidRPr="568FBF53">
              <w:rPr>
                <w:rFonts w:ascii="Calibri" w:eastAsia="Times New Roman" w:hAnsi="Calibri" w:cs="Calibri"/>
                <w:color w:val="12354E" w:themeColor="accent1" w:themeShade="BF"/>
              </w:rPr>
              <w:t>2.2b local level public participation </w:t>
            </w:r>
          </w:p>
        </w:tc>
        <w:tc>
          <w:tcPr>
            <w:tcW w:w="6919" w:type="dxa"/>
            <w:shd w:val="clear" w:color="auto" w:fill="auto"/>
            <w:vAlign w:val="center"/>
            <w:hideMark/>
          </w:tcPr>
          <w:p w14:paraId="3DDD3104" w14:textId="77777777" w:rsidR="00970943" w:rsidRPr="00C457FA" w:rsidRDefault="00D55C79" w:rsidP="568FBF53">
            <w:pPr>
              <w:spacing w:before="60" w:after="60"/>
              <w:textAlignment w:val="baseline"/>
              <w:rPr>
                <w:rFonts w:ascii="Segoe UI" w:eastAsia="Times New Roman" w:hAnsi="Segoe UI" w:cs="Segoe UI"/>
                <w:color w:val="12354E" w:themeColor="accent1" w:themeShade="BF"/>
              </w:rPr>
            </w:pPr>
            <w:hyperlink r:id="rId56">
              <w:r w:rsidR="00970943" w:rsidRPr="568FBF53">
                <w:rPr>
                  <w:rFonts w:ascii="Calibri" w:eastAsia="Times New Roman" w:hAnsi="Calibri" w:cs="Calibri"/>
                  <w:color w:val="92D050"/>
                  <w:u w:val="single"/>
                </w:rPr>
                <w:t>6.b</w:t>
              </w:r>
            </w:hyperlink>
            <w:r w:rsidR="00970943" w:rsidRPr="568FBF53">
              <w:rPr>
                <w:rFonts w:ascii="Calibri" w:eastAsia="Times New Roman" w:hAnsi="Calibri" w:cs="Calibri"/>
                <w:color w:val="92D050"/>
              </w:rPr>
              <w:t>:</w:t>
            </w:r>
            <w:r w:rsidR="00970943" w:rsidRPr="568FBF53">
              <w:rPr>
                <w:rFonts w:ascii="Calibri" w:eastAsia="Times New Roman" w:hAnsi="Calibri" w:cs="Calibri"/>
                <w:color w:val="12354E" w:themeColor="accent1" w:themeShade="BF"/>
              </w:rPr>
              <w:t xml:space="preserve"> Support and strengthen the participation of local communities in improving water and sanitation management. </w:t>
            </w:r>
          </w:p>
        </w:tc>
      </w:tr>
      <w:tr w:rsidR="00970943" w:rsidRPr="00F87882" w14:paraId="07F3FCC6" w14:textId="77777777" w:rsidTr="568FBF53">
        <w:trPr>
          <w:trHeight w:val="294"/>
        </w:trPr>
        <w:tc>
          <w:tcPr>
            <w:tcW w:w="2073" w:type="dxa"/>
            <w:shd w:val="clear" w:color="auto" w:fill="auto"/>
            <w:vAlign w:val="center"/>
            <w:hideMark/>
          </w:tcPr>
          <w:p w14:paraId="5D528A01" w14:textId="77777777" w:rsidR="00970943" w:rsidRPr="00C457FA" w:rsidRDefault="00970943" w:rsidP="568FBF53">
            <w:pPr>
              <w:spacing w:before="60" w:after="60"/>
              <w:textAlignment w:val="baseline"/>
              <w:rPr>
                <w:rFonts w:ascii="Segoe UI" w:eastAsia="Times New Roman" w:hAnsi="Segoe UI" w:cs="Segoe UI"/>
                <w:color w:val="12354E" w:themeColor="accent1" w:themeShade="BF"/>
              </w:rPr>
            </w:pPr>
            <w:r w:rsidRPr="568FBF53">
              <w:rPr>
                <w:rFonts w:ascii="Calibri" w:eastAsia="Times New Roman" w:hAnsi="Calibri" w:cs="Calibri"/>
                <w:color w:val="12354E" w:themeColor="accent1" w:themeShade="BF"/>
              </w:rPr>
              <w:t>2.2d gender in laws/plans or similar </w:t>
            </w:r>
          </w:p>
        </w:tc>
        <w:tc>
          <w:tcPr>
            <w:tcW w:w="6919" w:type="dxa"/>
            <w:shd w:val="clear" w:color="auto" w:fill="auto"/>
            <w:vAlign w:val="center"/>
            <w:hideMark/>
          </w:tcPr>
          <w:p w14:paraId="42851E9B" w14:textId="77777777" w:rsidR="00970943" w:rsidRPr="00C457FA" w:rsidRDefault="00970943" w:rsidP="568FBF53">
            <w:pPr>
              <w:spacing w:before="60" w:after="60"/>
              <w:textAlignment w:val="baseline"/>
              <w:rPr>
                <w:rFonts w:ascii="Segoe UI" w:eastAsia="Times New Roman" w:hAnsi="Segoe UI" w:cs="Segoe UI"/>
                <w:color w:val="12354E" w:themeColor="accent1" w:themeShade="BF"/>
              </w:rPr>
            </w:pPr>
            <w:r w:rsidRPr="568FBF53">
              <w:rPr>
                <w:rFonts w:ascii="Calibri" w:eastAsia="Times New Roman" w:hAnsi="Calibri" w:cs="Calibri"/>
                <w:color w:val="12354E" w:themeColor="accent1" w:themeShade="BF"/>
              </w:rPr>
              <w:t>Question A14.</w:t>
            </w:r>
            <w:proofErr w:type="spellStart"/>
            <w:r w:rsidRPr="568FBF53">
              <w:rPr>
                <w:rFonts w:ascii="Calibri" w:eastAsia="Times New Roman" w:hAnsi="Calibri" w:cs="Calibri"/>
                <w:color w:val="12354E" w:themeColor="accent1" w:themeShade="BF"/>
              </w:rPr>
              <w:t>a</w:t>
            </w:r>
            <w:proofErr w:type="spellEnd"/>
            <w:r w:rsidRPr="568FBF53">
              <w:rPr>
                <w:rFonts w:ascii="Calibri" w:eastAsia="Times New Roman" w:hAnsi="Calibri" w:cs="Calibri"/>
                <w:color w:val="12354E" w:themeColor="accent1" w:themeShade="BF"/>
              </w:rPr>
              <w:t xml:space="preserve"> in the </w:t>
            </w:r>
            <w:hyperlink r:id="rId57">
              <w:r w:rsidRPr="568FBF53">
                <w:rPr>
                  <w:rStyle w:val="Hyperlink"/>
                  <w:rFonts w:ascii="Calibri" w:eastAsia="Times New Roman" w:hAnsi="Calibri" w:cs="Calibri"/>
                  <w:color w:val="92D050"/>
                </w:rPr>
                <w:t>GLAAS</w:t>
              </w:r>
            </w:hyperlink>
            <w:r w:rsidRPr="568FBF53">
              <w:rPr>
                <w:rFonts w:ascii="Calibri" w:eastAsia="Times New Roman" w:hAnsi="Calibri" w:cs="Calibri"/>
                <w:color w:val="12354E" w:themeColor="accent1" w:themeShade="BF"/>
              </w:rPr>
              <w:t xml:space="preserve"> survey. </w:t>
            </w:r>
            <w:hyperlink r:id="rId58" w:anchor="targets_and_indicators">
              <w:r w:rsidRPr="568FBF53">
                <w:rPr>
                  <w:rStyle w:val="Hyperlink"/>
                  <w:rFonts w:ascii="Calibri" w:eastAsia="Times New Roman" w:hAnsi="Calibri" w:cs="Calibri"/>
                  <w:color w:val="92D050"/>
                </w:rPr>
                <w:t>5.5</w:t>
              </w:r>
            </w:hyperlink>
            <w:r w:rsidRPr="568FBF53">
              <w:rPr>
                <w:rFonts w:ascii="Calibri" w:eastAsia="Times New Roman" w:hAnsi="Calibri" w:cs="Calibri"/>
                <w:color w:val="12354E" w:themeColor="accent1" w:themeShade="BF"/>
              </w:rPr>
              <w:t xml:space="preserve">: Ensure women’s full and effective participation and equal opportunities for leadership at all levels ... in political, </w:t>
            </w:r>
            <w:proofErr w:type="gramStart"/>
            <w:r w:rsidRPr="568FBF53">
              <w:rPr>
                <w:rFonts w:ascii="Calibri" w:eastAsia="Times New Roman" w:hAnsi="Calibri" w:cs="Calibri"/>
                <w:color w:val="12354E" w:themeColor="accent1" w:themeShade="BF"/>
              </w:rPr>
              <w:t>economic</w:t>
            </w:r>
            <w:proofErr w:type="gramEnd"/>
            <w:r w:rsidRPr="568FBF53">
              <w:rPr>
                <w:rFonts w:ascii="Calibri" w:eastAsia="Times New Roman" w:hAnsi="Calibri" w:cs="Calibri"/>
                <w:color w:val="12354E" w:themeColor="accent1" w:themeShade="BF"/>
              </w:rPr>
              <w:t xml:space="preserve"> and public life.</w:t>
            </w:r>
          </w:p>
        </w:tc>
      </w:tr>
      <w:tr w:rsidR="00970943" w:rsidRPr="00F87882" w14:paraId="021FC571" w14:textId="77777777" w:rsidTr="568FBF53">
        <w:trPr>
          <w:trHeight w:val="294"/>
        </w:trPr>
        <w:tc>
          <w:tcPr>
            <w:tcW w:w="2073" w:type="dxa"/>
            <w:shd w:val="clear" w:color="auto" w:fill="auto"/>
            <w:vAlign w:val="center"/>
            <w:hideMark/>
          </w:tcPr>
          <w:p w14:paraId="3634F0F3" w14:textId="77777777" w:rsidR="00970943" w:rsidRPr="00C457FA" w:rsidRDefault="00970943" w:rsidP="568FBF53">
            <w:pPr>
              <w:spacing w:before="60" w:after="60"/>
              <w:textAlignment w:val="baseline"/>
              <w:rPr>
                <w:rFonts w:ascii="Segoe UI" w:eastAsia="Times New Roman" w:hAnsi="Segoe UI" w:cs="Segoe UI"/>
                <w:color w:val="12354E" w:themeColor="accent1" w:themeShade="BF"/>
              </w:rPr>
            </w:pPr>
            <w:r w:rsidRPr="568FBF53">
              <w:rPr>
                <w:rFonts w:ascii="Calibri" w:eastAsia="Times New Roman" w:hAnsi="Calibri" w:cs="Calibri"/>
                <w:color w:val="12354E" w:themeColor="accent1" w:themeShade="BF"/>
              </w:rPr>
              <w:t>3.1a national monitoring of water availability </w:t>
            </w:r>
          </w:p>
        </w:tc>
        <w:tc>
          <w:tcPr>
            <w:tcW w:w="6919" w:type="dxa"/>
            <w:vMerge w:val="restart"/>
            <w:shd w:val="clear" w:color="auto" w:fill="auto"/>
            <w:vAlign w:val="center"/>
            <w:hideMark/>
          </w:tcPr>
          <w:p w14:paraId="280C7CE2" w14:textId="77777777" w:rsidR="00970943" w:rsidRPr="00C457FA" w:rsidRDefault="00D55C79" w:rsidP="568FBF53">
            <w:pPr>
              <w:spacing w:before="60" w:after="60"/>
              <w:textAlignment w:val="baseline"/>
              <w:rPr>
                <w:rFonts w:ascii="Segoe UI" w:eastAsia="Times New Roman" w:hAnsi="Segoe UI" w:cs="Segoe UI"/>
                <w:color w:val="12354E" w:themeColor="accent1" w:themeShade="BF"/>
              </w:rPr>
            </w:pPr>
            <w:hyperlink r:id="rId59">
              <w:r w:rsidR="00970943" w:rsidRPr="568FBF53">
                <w:rPr>
                  <w:rFonts w:ascii="Calibri" w:eastAsia="Times New Roman" w:hAnsi="Calibri" w:cs="Calibri"/>
                  <w:color w:val="92D050"/>
                  <w:u w:val="single"/>
                </w:rPr>
                <w:t>6.4</w:t>
              </w:r>
            </w:hyperlink>
            <w:r w:rsidR="00970943" w:rsidRPr="568FBF53">
              <w:rPr>
                <w:rFonts w:ascii="Calibri" w:eastAsia="Times New Roman" w:hAnsi="Calibri" w:cs="Calibri"/>
                <w:color w:val="92D050"/>
              </w:rPr>
              <w:t xml:space="preserve">: </w:t>
            </w:r>
            <w:r w:rsidR="00970943" w:rsidRPr="568FBF53">
              <w:rPr>
                <w:rFonts w:ascii="Calibri" w:eastAsia="Times New Roman" w:hAnsi="Calibri" w:cs="Calibri"/>
                <w:color w:val="12354E" w:themeColor="accent1" w:themeShade="BF"/>
              </w:rPr>
              <w:t>By 2030, substantially increase water-use efficiency across all sectors and ensure sustainable withdrawals and supply of freshwater to address water scarcity and substantially reduce the number of people suffering from water scarcity. </w:t>
            </w:r>
          </w:p>
        </w:tc>
      </w:tr>
      <w:tr w:rsidR="00970943" w:rsidRPr="00F87882" w14:paraId="3F79B25E" w14:textId="77777777" w:rsidTr="568FBF53">
        <w:trPr>
          <w:trHeight w:val="294"/>
        </w:trPr>
        <w:tc>
          <w:tcPr>
            <w:tcW w:w="2073" w:type="dxa"/>
            <w:shd w:val="clear" w:color="auto" w:fill="auto"/>
            <w:vAlign w:val="center"/>
            <w:hideMark/>
          </w:tcPr>
          <w:p w14:paraId="17E643A4" w14:textId="77777777" w:rsidR="00970943" w:rsidRPr="00C457FA" w:rsidRDefault="00970943" w:rsidP="568FBF53">
            <w:pPr>
              <w:spacing w:before="60" w:after="60"/>
              <w:textAlignment w:val="baseline"/>
              <w:rPr>
                <w:rFonts w:ascii="Segoe UI" w:eastAsia="Times New Roman" w:hAnsi="Segoe UI" w:cs="Segoe UI"/>
                <w:color w:val="12354E" w:themeColor="accent1" w:themeShade="BF"/>
              </w:rPr>
            </w:pPr>
            <w:r w:rsidRPr="568FBF53">
              <w:rPr>
                <w:rFonts w:ascii="Calibri" w:eastAsia="Times New Roman" w:hAnsi="Calibri" w:cs="Calibri"/>
                <w:color w:val="12354E" w:themeColor="accent1" w:themeShade="BF"/>
              </w:rPr>
              <w:t>3.1b sustainable and efficient water use management </w:t>
            </w:r>
          </w:p>
        </w:tc>
        <w:tc>
          <w:tcPr>
            <w:tcW w:w="6919" w:type="dxa"/>
            <w:vMerge/>
            <w:vAlign w:val="center"/>
            <w:hideMark/>
          </w:tcPr>
          <w:p w14:paraId="77BD97E9" w14:textId="77777777" w:rsidR="00970943" w:rsidRPr="00C457FA" w:rsidRDefault="00970943" w:rsidP="00AA68B6">
            <w:pPr>
              <w:spacing w:before="60" w:after="60"/>
              <w:rPr>
                <w:rFonts w:ascii="Segoe UI" w:eastAsia="Times New Roman" w:hAnsi="Segoe UI" w:cs="Segoe UI"/>
                <w:color w:val="12354E" w:themeColor="accent1" w:themeShade="BF"/>
                <w:lang w:eastAsia="en-GB"/>
              </w:rPr>
            </w:pPr>
          </w:p>
        </w:tc>
      </w:tr>
      <w:tr w:rsidR="00970943" w:rsidRPr="00F87882" w14:paraId="08BF9603" w14:textId="77777777" w:rsidTr="568FBF53">
        <w:trPr>
          <w:trHeight w:val="294"/>
        </w:trPr>
        <w:tc>
          <w:tcPr>
            <w:tcW w:w="2073" w:type="dxa"/>
            <w:shd w:val="clear" w:color="auto" w:fill="auto"/>
            <w:vAlign w:val="center"/>
            <w:hideMark/>
          </w:tcPr>
          <w:p w14:paraId="3ABC8934" w14:textId="77777777" w:rsidR="00970943" w:rsidRPr="00C457FA" w:rsidRDefault="00970943" w:rsidP="568FBF53">
            <w:pPr>
              <w:spacing w:before="60" w:after="60"/>
              <w:textAlignment w:val="baseline"/>
              <w:rPr>
                <w:rFonts w:ascii="Segoe UI" w:eastAsia="Times New Roman" w:hAnsi="Segoe UI" w:cs="Segoe UI"/>
                <w:color w:val="12354E" w:themeColor="accent1" w:themeShade="BF"/>
              </w:rPr>
            </w:pPr>
            <w:r w:rsidRPr="568FBF53">
              <w:rPr>
                <w:rFonts w:ascii="Calibri" w:eastAsia="Times New Roman" w:hAnsi="Calibri" w:cs="Calibri"/>
                <w:color w:val="12354E" w:themeColor="accent1" w:themeShade="BF"/>
              </w:rPr>
              <w:t>3.1c pollution control </w:t>
            </w:r>
          </w:p>
        </w:tc>
        <w:tc>
          <w:tcPr>
            <w:tcW w:w="6919" w:type="dxa"/>
            <w:shd w:val="clear" w:color="auto" w:fill="auto"/>
            <w:vAlign w:val="center"/>
            <w:hideMark/>
          </w:tcPr>
          <w:p w14:paraId="6DE86D8C" w14:textId="77777777" w:rsidR="00970943" w:rsidRPr="00C457FA" w:rsidRDefault="00D55C79" w:rsidP="568FBF53">
            <w:pPr>
              <w:spacing w:before="60" w:after="60"/>
              <w:textAlignment w:val="baseline"/>
              <w:rPr>
                <w:rFonts w:ascii="Segoe UI" w:eastAsia="Times New Roman" w:hAnsi="Segoe UI" w:cs="Segoe UI"/>
                <w:color w:val="12354E" w:themeColor="accent1" w:themeShade="BF"/>
              </w:rPr>
            </w:pPr>
            <w:hyperlink r:id="rId60">
              <w:r w:rsidR="00970943" w:rsidRPr="568FBF53">
                <w:rPr>
                  <w:rFonts w:ascii="Calibri" w:eastAsia="Times New Roman" w:hAnsi="Calibri" w:cs="Calibri"/>
                  <w:color w:val="92D050"/>
                  <w:u w:val="single"/>
                </w:rPr>
                <w:t>6.3</w:t>
              </w:r>
            </w:hyperlink>
            <w:r w:rsidR="00970943" w:rsidRPr="568FBF53">
              <w:rPr>
                <w:rFonts w:ascii="Calibri" w:eastAsia="Times New Roman" w:hAnsi="Calibri" w:cs="Calibri"/>
                <w:color w:val="92D050"/>
              </w:rPr>
              <w:t xml:space="preserve">: </w:t>
            </w:r>
            <w:r w:rsidR="00970943" w:rsidRPr="568FBF53">
              <w:rPr>
                <w:rFonts w:ascii="Calibri" w:eastAsia="Times New Roman" w:hAnsi="Calibri" w:cs="Calibri"/>
                <w:color w:val="12354E" w:themeColor="accent1" w:themeShade="BF"/>
              </w:rPr>
              <w:t xml:space="preserve">By 2030, improve water quality by reducing pollution, eliminating </w:t>
            </w:r>
            <w:proofErr w:type="gramStart"/>
            <w:r w:rsidR="00970943" w:rsidRPr="568FBF53">
              <w:rPr>
                <w:rFonts w:ascii="Calibri" w:eastAsia="Times New Roman" w:hAnsi="Calibri" w:cs="Calibri"/>
                <w:color w:val="12354E" w:themeColor="accent1" w:themeShade="BF"/>
              </w:rPr>
              <w:t>dumping</w:t>
            </w:r>
            <w:proofErr w:type="gramEnd"/>
            <w:r w:rsidR="00970943" w:rsidRPr="568FBF53">
              <w:rPr>
                <w:rFonts w:ascii="Calibri" w:eastAsia="Times New Roman" w:hAnsi="Calibri" w:cs="Calibri"/>
                <w:color w:val="12354E" w:themeColor="accent1" w:themeShade="BF"/>
              </w:rPr>
              <w:t xml:space="preserve"> and minimizing release of hazardous chemicals and materials, halving the proportion of untreated wastewater and substantially increasing recycling and safe reuse globally. </w:t>
            </w:r>
          </w:p>
        </w:tc>
      </w:tr>
      <w:tr w:rsidR="00970943" w:rsidRPr="00F87882" w14:paraId="3ACE2F13" w14:textId="77777777" w:rsidTr="568FBF53">
        <w:trPr>
          <w:trHeight w:val="294"/>
        </w:trPr>
        <w:tc>
          <w:tcPr>
            <w:tcW w:w="2073" w:type="dxa"/>
            <w:shd w:val="clear" w:color="auto" w:fill="auto"/>
            <w:vAlign w:val="center"/>
            <w:hideMark/>
          </w:tcPr>
          <w:p w14:paraId="38EAB833" w14:textId="77777777" w:rsidR="00970943" w:rsidRPr="00C457FA" w:rsidRDefault="00970943" w:rsidP="568FBF53">
            <w:pPr>
              <w:spacing w:before="60" w:after="60"/>
              <w:textAlignment w:val="baseline"/>
              <w:rPr>
                <w:rFonts w:ascii="Segoe UI" w:eastAsia="Times New Roman" w:hAnsi="Segoe UI" w:cs="Segoe UI"/>
                <w:color w:val="12354E" w:themeColor="accent1" w:themeShade="BF"/>
              </w:rPr>
            </w:pPr>
            <w:r w:rsidRPr="568FBF53">
              <w:rPr>
                <w:rFonts w:ascii="Calibri" w:eastAsia="Times New Roman" w:hAnsi="Calibri" w:cs="Calibri"/>
                <w:color w:val="12354E" w:themeColor="accent1" w:themeShade="BF"/>
              </w:rPr>
              <w:t>3.1d management of water-related ecosystems </w:t>
            </w:r>
          </w:p>
        </w:tc>
        <w:tc>
          <w:tcPr>
            <w:tcW w:w="6919" w:type="dxa"/>
            <w:shd w:val="clear" w:color="auto" w:fill="auto"/>
            <w:vAlign w:val="center"/>
            <w:hideMark/>
          </w:tcPr>
          <w:p w14:paraId="1FA93E77" w14:textId="77777777" w:rsidR="00970943" w:rsidRPr="00C457FA" w:rsidRDefault="00D55C79" w:rsidP="568FBF53">
            <w:pPr>
              <w:spacing w:before="60" w:after="60"/>
              <w:textAlignment w:val="baseline"/>
              <w:rPr>
                <w:rFonts w:ascii="Segoe UI" w:eastAsia="Times New Roman" w:hAnsi="Segoe UI" w:cs="Segoe UI"/>
                <w:color w:val="12354E" w:themeColor="accent1" w:themeShade="BF"/>
              </w:rPr>
            </w:pPr>
            <w:hyperlink r:id="rId61">
              <w:r w:rsidR="00970943" w:rsidRPr="568FBF53">
                <w:rPr>
                  <w:rFonts w:ascii="Calibri" w:eastAsia="Times New Roman" w:hAnsi="Calibri" w:cs="Calibri"/>
                  <w:color w:val="92D050"/>
                  <w:u w:val="single"/>
                </w:rPr>
                <w:t>6.6</w:t>
              </w:r>
            </w:hyperlink>
            <w:r w:rsidR="00970943" w:rsidRPr="568FBF53">
              <w:rPr>
                <w:rFonts w:ascii="Calibri" w:eastAsia="Times New Roman" w:hAnsi="Calibri" w:cs="Calibri"/>
                <w:color w:val="92D050"/>
              </w:rPr>
              <w:t xml:space="preserve">: </w:t>
            </w:r>
            <w:r w:rsidR="00970943" w:rsidRPr="568FBF53">
              <w:rPr>
                <w:rFonts w:ascii="Calibri" w:eastAsia="Times New Roman" w:hAnsi="Calibri" w:cs="Calibri"/>
                <w:color w:val="12354E" w:themeColor="accent1" w:themeShade="BF"/>
              </w:rPr>
              <w:t xml:space="preserve">By 2020, protect and restore water-related ecosystems, including mountains, forests, wetlands, rivers, </w:t>
            </w:r>
            <w:proofErr w:type="gramStart"/>
            <w:r w:rsidR="00970943" w:rsidRPr="568FBF53">
              <w:rPr>
                <w:rFonts w:ascii="Calibri" w:eastAsia="Times New Roman" w:hAnsi="Calibri" w:cs="Calibri"/>
                <w:color w:val="12354E" w:themeColor="accent1" w:themeShade="BF"/>
              </w:rPr>
              <w:t>aquifers</w:t>
            </w:r>
            <w:proofErr w:type="gramEnd"/>
            <w:r w:rsidR="00970943" w:rsidRPr="568FBF53">
              <w:rPr>
                <w:rFonts w:ascii="Calibri" w:eastAsia="Times New Roman" w:hAnsi="Calibri" w:cs="Calibri"/>
                <w:color w:val="12354E" w:themeColor="accent1" w:themeShade="BF"/>
              </w:rPr>
              <w:t xml:space="preserve"> and lakes. </w:t>
            </w:r>
          </w:p>
        </w:tc>
      </w:tr>
      <w:tr w:rsidR="00970943" w:rsidRPr="00F87882" w14:paraId="23A744BC" w14:textId="77777777" w:rsidTr="568FBF53">
        <w:trPr>
          <w:trHeight w:val="294"/>
        </w:trPr>
        <w:tc>
          <w:tcPr>
            <w:tcW w:w="2073" w:type="dxa"/>
            <w:shd w:val="clear" w:color="auto" w:fill="auto"/>
            <w:vAlign w:val="center"/>
            <w:hideMark/>
          </w:tcPr>
          <w:p w14:paraId="12F0CF8F" w14:textId="77777777" w:rsidR="00970943" w:rsidRPr="00C457FA" w:rsidRDefault="00970943" w:rsidP="568FBF53">
            <w:pPr>
              <w:spacing w:before="60" w:after="60"/>
              <w:textAlignment w:val="baseline"/>
              <w:rPr>
                <w:rFonts w:ascii="Segoe UI" w:eastAsia="Times New Roman" w:hAnsi="Segoe UI" w:cs="Segoe UI"/>
                <w:color w:val="12354E" w:themeColor="accent1" w:themeShade="BF"/>
              </w:rPr>
            </w:pPr>
            <w:r w:rsidRPr="568FBF53">
              <w:rPr>
                <w:rFonts w:ascii="Calibri" w:eastAsia="Times New Roman" w:hAnsi="Calibri" w:cs="Calibri"/>
                <w:color w:val="12354E" w:themeColor="accent1" w:themeShade="BF"/>
              </w:rPr>
              <w:t>3.1e management instruments to reduce impacts of water-related disasters </w:t>
            </w:r>
          </w:p>
        </w:tc>
        <w:tc>
          <w:tcPr>
            <w:tcW w:w="6919" w:type="dxa"/>
            <w:shd w:val="clear" w:color="auto" w:fill="auto"/>
            <w:vAlign w:val="center"/>
            <w:hideMark/>
          </w:tcPr>
          <w:p w14:paraId="3B576AC1" w14:textId="77777777" w:rsidR="00970943" w:rsidRPr="00C457FA" w:rsidRDefault="00D55C79" w:rsidP="568FBF53">
            <w:pPr>
              <w:spacing w:before="60" w:after="60"/>
              <w:textAlignment w:val="baseline"/>
              <w:rPr>
                <w:rFonts w:ascii="Segoe UI" w:eastAsia="Times New Roman" w:hAnsi="Segoe UI" w:cs="Segoe UI"/>
                <w:color w:val="12354E" w:themeColor="accent1" w:themeShade="BF"/>
              </w:rPr>
            </w:pPr>
            <w:hyperlink r:id="rId62">
              <w:r w:rsidR="00970943" w:rsidRPr="568FBF53">
                <w:rPr>
                  <w:rFonts w:ascii="Calibri" w:eastAsia="Times New Roman" w:hAnsi="Calibri" w:cs="Calibri"/>
                  <w:color w:val="92D050"/>
                  <w:u w:val="single"/>
                </w:rPr>
                <w:t>11.5</w:t>
              </w:r>
            </w:hyperlink>
            <w:r w:rsidR="00970943" w:rsidRPr="568FBF53">
              <w:rPr>
                <w:rFonts w:ascii="Calibri" w:eastAsia="Times New Roman" w:hAnsi="Calibri" w:cs="Calibri"/>
                <w:color w:val="92D050"/>
              </w:rPr>
              <w:t xml:space="preserve">: </w:t>
            </w:r>
            <w:r w:rsidR="00970943" w:rsidRPr="568FBF53">
              <w:rPr>
                <w:rFonts w:ascii="Calibri" w:eastAsia="Times New Roman" w:hAnsi="Calibri" w:cs="Calibri"/>
                <w:color w:val="12354E" w:themeColor="accent1" w:themeShade="BF"/>
              </w:rPr>
              <w:t>By 2030, significantly reduce the number of deaths and the number of people affected and substantially decrease the direct economic losses relative to global gross domestic product caused by disasters, including water-related disasters, with a focus on protecting the poor and people in vulnerable situations. </w:t>
            </w:r>
          </w:p>
        </w:tc>
      </w:tr>
    </w:tbl>
    <w:p w14:paraId="2C1EC739" w14:textId="77777777" w:rsidR="00970943" w:rsidRPr="004303E9" w:rsidRDefault="00970943" w:rsidP="00970943">
      <w:pPr>
        <w:pStyle w:val="Body"/>
        <w:jc w:val="both"/>
        <w:rPr>
          <w:lang w:val="en-GB"/>
        </w:rPr>
      </w:pPr>
    </w:p>
    <w:sectPr w:rsidR="00970943" w:rsidRPr="004303E9" w:rsidSect="003732C1">
      <w:headerReference w:type="default" r:id="rId63"/>
      <w:footerReference w:type="default" r:id="rId64"/>
      <w:headerReference w:type="first" r:id="rId65"/>
      <w:footerReference w:type="first" r:id="rId66"/>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C0791F" w14:textId="77777777" w:rsidR="004A5963" w:rsidRDefault="004A5963" w:rsidP="009819C7">
      <w:r>
        <w:separator/>
      </w:r>
    </w:p>
  </w:endnote>
  <w:endnote w:type="continuationSeparator" w:id="0">
    <w:p w14:paraId="1C54919B" w14:textId="77777777" w:rsidR="004A5963" w:rsidRDefault="004A5963" w:rsidP="00981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Times New Roman (Body CS)">
    <w:altName w:val="Times New Roman"/>
    <w:panose1 w:val="00000000000000000000"/>
    <w:charset w:val="00"/>
    <w:family w:val="roman"/>
    <w:notTrueType/>
    <w:pitch w:val="default"/>
  </w:font>
  <w:font w:name="DengXian">
    <w:altName w:val="等线"/>
    <w:panose1 w:val="02010600030101010101"/>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3329204"/>
      <w:docPartObj>
        <w:docPartGallery w:val="Page Numbers (Bottom of Page)"/>
        <w:docPartUnique/>
      </w:docPartObj>
    </w:sdtPr>
    <w:sdtEndPr>
      <w:rPr>
        <w:noProof/>
      </w:rPr>
    </w:sdtEndPr>
    <w:sdtContent>
      <w:p w14:paraId="2AA6DC80" w14:textId="077589A1" w:rsidR="006C21B5" w:rsidRPr="0088082D" w:rsidRDefault="006C21B5">
        <w:pPr>
          <w:pStyle w:val="Footer"/>
          <w:jc w:val="right"/>
        </w:pPr>
        <w:r>
          <w:fldChar w:fldCharType="begin"/>
        </w:r>
        <w:r>
          <w:instrText xml:space="preserve"> PAGE   \* MERGEFORMAT </w:instrText>
        </w:r>
        <w:r>
          <w:fldChar w:fldCharType="separate"/>
        </w:r>
        <w:r w:rsidR="568FBF53">
          <w:t>7</w:t>
        </w:r>
        <w:r>
          <w:fldChar w:fldCharType="end"/>
        </w:r>
      </w:p>
    </w:sdtContent>
  </w:sdt>
  <w:p w14:paraId="4089E08A" w14:textId="7FF9BBCE" w:rsidR="0019531E" w:rsidRPr="00382FD3" w:rsidRDefault="0019531E" w:rsidP="00382FD3">
    <w:pPr>
      <w:pStyle w:val="Footer"/>
      <w:jc w:val="right"/>
      <w:rPr>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13750A5F" w14:paraId="58C385F6" w14:textId="77777777" w:rsidTr="568FBF53">
      <w:trPr>
        <w:trHeight w:val="300"/>
      </w:trPr>
      <w:tc>
        <w:tcPr>
          <w:tcW w:w="3005" w:type="dxa"/>
        </w:tcPr>
        <w:p w14:paraId="19F87736" w14:textId="6143D341" w:rsidR="13750A5F" w:rsidRDefault="13750A5F" w:rsidP="13750A5F">
          <w:pPr>
            <w:pStyle w:val="Header"/>
            <w:ind w:left="-115"/>
          </w:pPr>
        </w:p>
      </w:tc>
      <w:tc>
        <w:tcPr>
          <w:tcW w:w="3005" w:type="dxa"/>
        </w:tcPr>
        <w:p w14:paraId="30EE137A" w14:textId="58158109" w:rsidR="13750A5F" w:rsidRDefault="13750A5F" w:rsidP="13750A5F">
          <w:pPr>
            <w:pStyle w:val="Header"/>
            <w:jc w:val="center"/>
          </w:pPr>
        </w:p>
      </w:tc>
      <w:tc>
        <w:tcPr>
          <w:tcW w:w="3005" w:type="dxa"/>
        </w:tcPr>
        <w:p w14:paraId="67CAD441" w14:textId="524FB555" w:rsidR="13750A5F" w:rsidRDefault="13750A5F" w:rsidP="13750A5F">
          <w:pPr>
            <w:pStyle w:val="Header"/>
            <w:ind w:right="-115"/>
            <w:jc w:val="right"/>
          </w:pPr>
        </w:p>
      </w:tc>
    </w:tr>
  </w:tbl>
  <w:p w14:paraId="317529D0" w14:textId="6B9E3BBC" w:rsidR="13750A5F" w:rsidRDefault="13750A5F" w:rsidP="13750A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6491E9" w14:textId="77777777" w:rsidR="004A5963" w:rsidRDefault="004A5963" w:rsidP="009819C7">
      <w:r>
        <w:separator/>
      </w:r>
    </w:p>
  </w:footnote>
  <w:footnote w:type="continuationSeparator" w:id="0">
    <w:p w14:paraId="2FCDC5A0" w14:textId="77777777" w:rsidR="004A5963" w:rsidRDefault="004A5963" w:rsidP="009819C7">
      <w:r>
        <w:continuationSeparator/>
      </w:r>
    </w:p>
  </w:footnote>
  <w:footnote w:id="1">
    <w:p w14:paraId="7963C2B2" w14:textId="77777777" w:rsidR="005550D4" w:rsidRPr="004441E5" w:rsidRDefault="005550D4" w:rsidP="005550D4">
      <w:pPr>
        <w:pStyle w:val="FootnoteText"/>
        <w:rPr>
          <w:sz w:val="20"/>
          <w:szCs w:val="20"/>
        </w:rPr>
      </w:pPr>
      <w:r w:rsidRPr="00795FFC">
        <w:rPr>
          <w:rStyle w:val="FootnoteReference"/>
          <w:color w:val="194869" w:themeColor="accent1"/>
          <w:sz w:val="20"/>
          <w:szCs w:val="20"/>
        </w:rPr>
        <w:footnoteRef/>
      </w:r>
      <w:r w:rsidR="568FBF53" w:rsidRPr="00795FFC">
        <w:rPr>
          <w:color w:val="194869" w:themeColor="accent1"/>
          <w:sz w:val="20"/>
          <w:szCs w:val="20"/>
        </w:rPr>
        <w:t xml:space="preserve"> The standardised United Nations Statistical Division (UNSD) </w:t>
      </w:r>
      <w:hyperlink r:id="rId1" w:history="1">
        <w:r w:rsidR="568FBF53" w:rsidRPr="008F0647">
          <w:rPr>
            <w:rStyle w:val="Hyperlink"/>
            <w:rFonts w:eastAsiaTheme="minorHAnsi"/>
            <w:sz w:val="20"/>
            <w:szCs w:val="20"/>
            <w:lang w:bidi="ar-SA"/>
          </w:rPr>
          <w:t>Metadata Sheet for 6.5.1</w:t>
        </w:r>
      </w:hyperlink>
      <w:r w:rsidR="568FBF53" w:rsidRPr="00795FFC">
        <w:rPr>
          <w:color w:val="194869" w:themeColor="accent1"/>
          <w:sz w:val="20"/>
          <w:szCs w:val="20"/>
        </w:rPr>
        <w:t xml:space="preserve"> may be relevant for NSOs.</w:t>
      </w:r>
    </w:p>
  </w:footnote>
  <w:footnote w:id="2">
    <w:p w14:paraId="20FAD2BF" w14:textId="77777777" w:rsidR="00795FFC" w:rsidRPr="00795FFC" w:rsidRDefault="00795FFC" w:rsidP="00795FFC">
      <w:pPr>
        <w:pStyle w:val="FootnoteText"/>
        <w:spacing w:line="240" w:lineRule="auto"/>
        <w:rPr>
          <w:color w:val="194869" w:themeColor="accent1"/>
          <w:sz w:val="20"/>
          <w:szCs w:val="20"/>
          <w:lang w:val="en-AU"/>
        </w:rPr>
      </w:pPr>
      <w:r w:rsidRPr="00795FFC">
        <w:rPr>
          <w:rStyle w:val="FootnoteReference"/>
          <w:color w:val="194869" w:themeColor="accent1"/>
          <w:sz w:val="20"/>
          <w:szCs w:val="20"/>
        </w:rPr>
        <w:footnoteRef/>
      </w:r>
      <w:r w:rsidR="568FBF53" w:rsidRPr="00795FFC">
        <w:rPr>
          <w:color w:val="194869" w:themeColor="accent1"/>
          <w:sz w:val="20"/>
          <w:szCs w:val="20"/>
        </w:rPr>
        <w:t xml:space="preserve"> File name format: CountryName_651_2023_2-letter-language-code_INTERIM-DRAFT_ver.X_ddmmyyy.docx</w:t>
      </w:r>
    </w:p>
  </w:footnote>
  <w:footnote w:id="3">
    <w:p w14:paraId="5173A4CE" w14:textId="77777777" w:rsidR="00795FFC" w:rsidRPr="00795FFC" w:rsidRDefault="00795FFC" w:rsidP="00795FFC">
      <w:pPr>
        <w:pStyle w:val="FootnoteText"/>
        <w:spacing w:line="240" w:lineRule="auto"/>
        <w:rPr>
          <w:color w:val="194869" w:themeColor="accent1"/>
        </w:rPr>
      </w:pPr>
      <w:r w:rsidRPr="00795FFC">
        <w:rPr>
          <w:rStyle w:val="FootnoteReference"/>
          <w:color w:val="194869" w:themeColor="accent1"/>
          <w:sz w:val="20"/>
          <w:szCs w:val="20"/>
        </w:rPr>
        <w:footnoteRef/>
      </w:r>
      <w:r w:rsidR="568FBF53" w:rsidRPr="00795FFC">
        <w:rPr>
          <w:color w:val="194869" w:themeColor="accent1"/>
          <w:sz w:val="20"/>
          <w:szCs w:val="20"/>
        </w:rPr>
        <w:t xml:space="preserve"> File name format: CountryName_651_2023_2-letter-language-code_FINAL-DRAFT_ver.X_ddmmyyy.docx</w:t>
      </w:r>
    </w:p>
  </w:footnote>
  <w:footnote w:id="4">
    <w:p w14:paraId="690AA21A" w14:textId="77777777" w:rsidR="00795FFC" w:rsidRPr="007F3252" w:rsidRDefault="00795FFC" w:rsidP="00795FFC">
      <w:pPr>
        <w:pStyle w:val="FootnoteText"/>
        <w:rPr>
          <w:sz w:val="20"/>
          <w:szCs w:val="20"/>
        </w:rPr>
      </w:pPr>
      <w:r w:rsidRPr="00795FFC">
        <w:rPr>
          <w:rStyle w:val="FootnoteReference"/>
          <w:color w:val="194869" w:themeColor="accent1"/>
          <w:sz w:val="20"/>
          <w:szCs w:val="20"/>
        </w:rPr>
        <w:footnoteRef/>
      </w:r>
      <w:r w:rsidR="568FBF53" w:rsidRPr="00795FFC">
        <w:rPr>
          <w:color w:val="194869" w:themeColor="accent1"/>
          <w:sz w:val="20"/>
          <w:szCs w:val="20"/>
        </w:rPr>
        <w:t xml:space="preserve"> </w:t>
      </w:r>
      <w:r w:rsidR="568FBF53" w:rsidRPr="00795FFC">
        <w:rPr>
          <w:color w:val="194869" w:themeColor="accent1"/>
          <w:sz w:val="20"/>
          <w:szCs w:val="20"/>
          <w:lang w:val="en-AU"/>
        </w:rPr>
        <w:t xml:space="preserve">2017, 2020, 2023, and expected 2026 and 2030.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8B1C2" w14:textId="3606ED6F" w:rsidR="0019531E" w:rsidRPr="00D21046" w:rsidRDefault="00345F82" w:rsidP="00ED744C">
    <w:pPr>
      <w:pStyle w:val="Header"/>
      <w:jc w:val="right"/>
      <w:rPr>
        <w:color w:val="323E4F" w:themeColor="text2" w:themeShade="BF"/>
        <w:sz w:val="16"/>
        <w:szCs w:val="16"/>
      </w:rPr>
    </w:pPr>
    <w:r>
      <w:rPr>
        <w:noProof/>
        <w:color w:val="323E4F" w:themeColor="text2" w:themeShade="BF"/>
        <w:sz w:val="16"/>
        <w:szCs w:val="16"/>
        <w:lang w:val="en-US"/>
      </w:rPr>
      <w:drawing>
        <wp:anchor distT="0" distB="0" distL="114300" distR="114300" simplePos="0" relativeHeight="251659264" behindDoc="1" locked="0" layoutInCell="1" allowOverlap="1" wp14:anchorId="42CF8FB2" wp14:editId="2EE014E5">
          <wp:simplePos x="0" y="0"/>
          <wp:positionH relativeFrom="column">
            <wp:posOffset>5376</wp:posOffset>
          </wp:positionH>
          <wp:positionV relativeFrom="paragraph">
            <wp:posOffset>-261620</wp:posOffset>
          </wp:positionV>
          <wp:extent cx="626302" cy="521918"/>
          <wp:effectExtent l="0" t="0" r="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13750A5F" w14:paraId="23954842" w14:textId="77777777" w:rsidTr="568FBF53">
      <w:trPr>
        <w:trHeight w:val="300"/>
      </w:trPr>
      <w:tc>
        <w:tcPr>
          <w:tcW w:w="3005" w:type="dxa"/>
        </w:tcPr>
        <w:p w14:paraId="7D77F764" w14:textId="3E8985C1" w:rsidR="13750A5F" w:rsidRDefault="13750A5F" w:rsidP="13750A5F">
          <w:pPr>
            <w:pStyle w:val="Header"/>
            <w:ind w:left="-115"/>
          </w:pPr>
        </w:p>
      </w:tc>
      <w:tc>
        <w:tcPr>
          <w:tcW w:w="3005" w:type="dxa"/>
        </w:tcPr>
        <w:p w14:paraId="18987640" w14:textId="11EACC62" w:rsidR="13750A5F" w:rsidRDefault="13750A5F" w:rsidP="13750A5F">
          <w:pPr>
            <w:pStyle w:val="Header"/>
            <w:jc w:val="center"/>
          </w:pPr>
        </w:p>
      </w:tc>
      <w:tc>
        <w:tcPr>
          <w:tcW w:w="3005" w:type="dxa"/>
        </w:tcPr>
        <w:p w14:paraId="6CAE95DE" w14:textId="6F9A7E22" w:rsidR="13750A5F" w:rsidRDefault="13750A5F" w:rsidP="13750A5F">
          <w:pPr>
            <w:pStyle w:val="Header"/>
            <w:ind w:right="-115"/>
            <w:jc w:val="right"/>
          </w:pPr>
        </w:p>
      </w:tc>
    </w:tr>
  </w:tbl>
  <w:p w14:paraId="2EA59EA0" w14:textId="78129EB0" w:rsidR="13750A5F" w:rsidRDefault="13750A5F" w:rsidP="13750A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CD0923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FF803E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2244EA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96A99D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69A76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E7684D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31E717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840F23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5FEC53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1EEB23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ED4881"/>
    <w:multiLevelType w:val="hybridMultilevel"/>
    <w:tmpl w:val="98A09956"/>
    <w:lvl w:ilvl="0" w:tplc="F15E25D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5DD2E92"/>
    <w:multiLevelType w:val="hybridMultilevel"/>
    <w:tmpl w:val="CF7C3D92"/>
    <w:lvl w:ilvl="0" w:tplc="7166BAA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22E13CF"/>
    <w:multiLevelType w:val="hybridMultilevel"/>
    <w:tmpl w:val="CEB44548"/>
    <w:lvl w:ilvl="0" w:tplc="6D0A7CF8">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3885E0F"/>
    <w:multiLevelType w:val="hybridMultilevel"/>
    <w:tmpl w:val="E2AC955E"/>
    <w:lvl w:ilvl="0" w:tplc="4B0C8932">
      <w:start w:val="1"/>
      <w:numFmt w:val="decimal"/>
      <w:lvlText w:val="%1."/>
      <w:lvlJc w:val="left"/>
      <w:pPr>
        <w:ind w:left="1080" w:hanging="720"/>
      </w:pPr>
      <w:rPr>
        <w:rFonts w:hint="default"/>
        <w:b/>
        <w:color w:val="194869" w:themeColor="accent1"/>
        <w:sz w:val="4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C295F7A"/>
    <w:multiLevelType w:val="hybridMultilevel"/>
    <w:tmpl w:val="2AC4E8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96B6A74"/>
    <w:multiLevelType w:val="hybridMultilevel"/>
    <w:tmpl w:val="7AF44C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CF956C9"/>
    <w:multiLevelType w:val="hybridMultilevel"/>
    <w:tmpl w:val="889EB0E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F7C4656"/>
    <w:multiLevelType w:val="hybridMultilevel"/>
    <w:tmpl w:val="AC40BEBC"/>
    <w:lvl w:ilvl="0" w:tplc="DAC08ABC">
      <w:start w:val="1"/>
      <w:numFmt w:val="bullet"/>
      <w:pStyle w:val="ListParagraph"/>
      <w:lvlText w:val=""/>
      <w:lvlJc w:val="left"/>
      <w:pPr>
        <w:ind w:left="720" w:hanging="360"/>
      </w:pPr>
      <w:rPr>
        <w:rFonts w:ascii="Symbol" w:hAnsi="Symbol" w:hint="default"/>
        <w:color w:val="20A6CA" w:themeColor="accen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40134ADD"/>
    <w:multiLevelType w:val="hybridMultilevel"/>
    <w:tmpl w:val="20EA37FE"/>
    <w:lvl w:ilvl="0" w:tplc="7DC0D28E">
      <w:start w:val="4"/>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5AA5E3A"/>
    <w:multiLevelType w:val="hybridMultilevel"/>
    <w:tmpl w:val="5B08A9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4545C3B"/>
    <w:multiLevelType w:val="hybridMultilevel"/>
    <w:tmpl w:val="FC0631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68F6800"/>
    <w:multiLevelType w:val="hybridMultilevel"/>
    <w:tmpl w:val="F95249E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60AF540F"/>
    <w:multiLevelType w:val="hybridMultilevel"/>
    <w:tmpl w:val="105E6B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90C0D85"/>
    <w:multiLevelType w:val="hybridMultilevel"/>
    <w:tmpl w:val="CB60C6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08604020">
    <w:abstractNumId w:val="10"/>
  </w:num>
  <w:num w:numId="2" w16cid:durableId="1077824317">
    <w:abstractNumId w:val="17"/>
  </w:num>
  <w:num w:numId="3" w16cid:durableId="38895515">
    <w:abstractNumId w:val="0"/>
  </w:num>
  <w:num w:numId="4" w16cid:durableId="1424304173">
    <w:abstractNumId w:val="1"/>
  </w:num>
  <w:num w:numId="5" w16cid:durableId="2041543417">
    <w:abstractNumId w:val="2"/>
  </w:num>
  <w:num w:numId="6" w16cid:durableId="1705330732">
    <w:abstractNumId w:val="3"/>
  </w:num>
  <w:num w:numId="7" w16cid:durableId="1701587971">
    <w:abstractNumId w:val="8"/>
  </w:num>
  <w:num w:numId="8" w16cid:durableId="1381124631">
    <w:abstractNumId w:val="4"/>
  </w:num>
  <w:num w:numId="9" w16cid:durableId="1834712729">
    <w:abstractNumId w:val="5"/>
  </w:num>
  <w:num w:numId="10" w16cid:durableId="2008483387">
    <w:abstractNumId w:val="6"/>
  </w:num>
  <w:num w:numId="11" w16cid:durableId="543059706">
    <w:abstractNumId w:val="7"/>
  </w:num>
  <w:num w:numId="12" w16cid:durableId="1026635733">
    <w:abstractNumId w:val="9"/>
  </w:num>
  <w:num w:numId="13" w16cid:durableId="1476877943">
    <w:abstractNumId w:val="19"/>
  </w:num>
  <w:num w:numId="14" w16cid:durableId="378479337">
    <w:abstractNumId w:val="12"/>
  </w:num>
  <w:num w:numId="15" w16cid:durableId="2036424366">
    <w:abstractNumId w:val="15"/>
  </w:num>
  <w:num w:numId="16" w16cid:durableId="106629963">
    <w:abstractNumId w:val="11"/>
  </w:num>
  <w:num w:numId="17" w16cid:durableId="406850949">
    <w:abstractNumId w:val="14"/>
  </w:num>
  <w:num w:numId="18" w16cid:durableId="772556610">
    <w:abstractNumId w:val="18"/>
  </w:num>
  <w:num w:numId="19" w16cid:durableId="690572517">
    <w:abstractNumId w:val="22"/>
  </w:num>
  <w:num w:numId="20" w16cid:durableId="659114009">
    <w:abstractNumId w:val="13"/>
  </w:num>
  <w:num w:numId="21" w16cid:durableId="1182936728">
    <w:abstractNumId w:val="21"/>
  </w:num>
  <w:num w:numId="22" w16cid:durableId="564797384">
    <w:abstractNumId w:val="20"/>
  </w:num>
  <w:num w:numId="23" w16cid:durableId="1371413521">
    <w:abstractNumId w:val="23"/>
  </w:num>
  <w:num w:numId="24" w16cid:durableId="10403823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3F19"/>
    <w:rsid w:val="00026F5A"/>
    <w:rsid w:val="000421CD"/>
    <w:rsid w:val="00072A4A"/>
    <w:rsid w:val="000753E2"/>
    <w:rsid w:val="000C284B"/>
    <w:rsid w:val="000C6D88"/>
    <w:rsid w:val="001226CD"/>
    <w:rsid w:val="001236FA"/>
    <w:rsid w:val="001348B4"/>
    <w:rsid w:val="001352C1"/>
    <w:rsid w:val="00137A02"/>
    <w:rsid w:val="00174110"/>
    <w:rsid w:val="00174129"/>
    <w:rsid w:val="0019109F"/>
    <w:rsid w:val="0019531E"/>
    <w:rsid w:val="0019594B"/>
    <w:rsid w:val="001A226E"/>
    <w:rsid w:val="001C7CCF"/>
    <w:rsid w:val="001D71EC"/>
    <w:rsid w:val="001E3DD4"/>
    <w:rsid w:val="00217A87"/>
    <w:rsid w:val="00235F7A"/>
    <w:rsid w:val="00242C7B"/>
    <w:rsid w:val="00244D2A"/>
    <w:rsid w:val="002506E5"/>
    <w:rsid w:val="00296D4E"/>
    <w:rsid w:val="002B08AA"/>
    <w:rsid w:val="002D031F"/>
    <w:rsid w:val="002D4607"/>
    <w:rsid w:val="002F13BE"/>
    <w:rsid w:val="003056B4"/>
    <w:rsid w:val="00321419"/>
    <w:rsid w:val="00345F82"/>
    <w:rsid w:val="00350EB9"/>
    <w:rsid w:val="00370771"/>
    <w:rsid w:val="003732C1"/>
    <w:rsid w:val="00381D73"/>
    <w:rsid w:val="00382FD3"/>
    <w:rsid w:val="003867BA"/>
    <w:rsid w:val="003C0692"/>
    <w:rsid w:val="003C1F98"/>
    <w:rsid w:val="003C2E29"/>
    <w:rsid w:val="003D7EC1"/>
    <w:rsid w:val="003E6826"/>
    <w:rsid w:val="003F6568"/>
    <w:rsid w:val="00405460"/>
    <w:rsid w:val="004134D1"/>
    <w:rsid w:val="004141A9"/>
    <w:rsid w:val="004303E9"/>
    <w:rsid w:val="00444243"/>
    <w:rsid w:val="004500D5"/>
    <w:rsid w:val="00455766"/>
    <w:rsid w:val="004646E9"/>
    <w:rsid w:val="00483DB1"/>
    <w:rsid w:val="00485D3B"/>
    <w:rsid w:val="004A5963"/>
    <w:rsid w:val="004F4F46"/>
    <w:rsid w:val="00530BA8"/>
    <w:rsid w:val="005410E9"/>
    <w:rsid w:val="005550D4"/>
    <w:rsid w:val="0057073D"/>
    <w:rsid w:val="005C0751"/>
    <w:rsid w:val="005C4351"/>
    <w:rsid w:val="005C7E25"/>
    <w:rsid w:val="005E6318"/>
    <w:rsid w:val="006101CE"/>
    <w:rsid w:val="006114D9"/>
    <w:rsid w:val="00677B9C"/>
    <w:rsid w:val="0069465E"/>
    <w:rsid w:val="006A7BDE"/>
    <w:rsid w:val="006C21B5"/>
    <w:rsid w:val="006D2877"/>
    <w:rsid w:val="006D34F4"/>
    <w:rsid w:val="006E2EAE"/>
    <w:rsid w:val="006F203B"/>
    <w:rsid w:val="00717164"/>
    <w:rsid w:val="007216EF"/>
    <w:rsid w:val="007221C3"/>
    <w:rsid w:val="0074182F"/>
    <w:rsid w:val="007626D9"/>
    <w:rsid w:val="00795FFC"/>
    <w:rsid w:val="007E6CB6"/>
    <w:rsid w:val="007E70AF"/>
    <w:rsid w:val="007F2071"/>
    <w:rsid w:val="007F2931"/>
    <w:rsid w:val="008078E3"/>
    <w:rsid w:val="00844946"/>
    <w:rsid w:val="00847689"/>
    <w:rsid w:val="00861568"/>
    <w:rsid w:val="0088082D"/>
    <w:rsid w:val="00895442"/>
    <w:rsid w:val="008B4AB1"/>
    <w:rsid w:val="008B62D2"/>
    <w:rsid w:val="008E5D49"/>
    <w:rsid w:val="008F0647"/>
    <w:rsid w:val="009249F6"/>
    <w:rsid w:val="009271A8"/>
    <w:rsid w:val="0096136B"/>
    <w:rsid w:val="00970943"/>
    <w:rsid w:val="009819C7"/>
    <w:rsid w:val="0098576D"/>
    <w:rsid w:val="00987A75"/>
    <w:rsid w:val="009C625F"/>
    <w:rsid w:val="009D20C4"/>
    <w:rsid w:val="009E66C8"/>
    <w:rsid w:val="00A00F8E"/>
    <w:rsid w:val="00A07C3D"/>
    <w:rsid w:val="00A17D75"/>
    <w:rsid w:val="00A43F19"/>
    <w:rsid w:val="00A5744D"/>
    <w:rsid w:val="00A76A59"/>
    <w:rsid w:val="00A86F47"/>
    <w:rsid w:val="00A91844"/>
    <w:rsid w:val="00A948E8"/>
    <w:rsid w:val="00A94D28"/>
    <w:rsid w:val="00AA27B6"/>
    <w:rsid w:val="00AA32D5"/>
    <w:rsid w:val="00AA68B6"/>
    <w:rsid w:val="00AC0882"/>
    <w:rsid w:val="00AC2500"/>
    <w:rsid w:val="00AE431D"/>
    <w:rsid w:val="00AF6624"/>
    <w:rsid w:val="00B0219D"/>
    <w:rsid w:val="00B06286"/>
    <w:rsid w:val="00B44220"/>
    <w:rsid w:val="00B870E9"/>
    <w:rsid w:val="00BA194C"/>
    <w:rsid w:val="00BB59AC"/>
    <w:rsid w:val="00BC5008"/>
    <w:rsid w:val="00BD2B7A"/>
    <w:rsid w:val="00BF1F60"/>
    <w:rsid w:val="00BF63F2"/>
    <w:rsid w:val="00C140E8"/>
    <w:rsid w:val="00C200DE"/>
    <w:rsid w:val="00C31D43"/>
    <w:rsid w:val="00C44F69"/>
    <w:rsid w:val="00C457FA"/>
    <w:rsid w:val="00C4762A"/>
    <w:rsid w:val="00C529F7"/>
    <w:rsid w:val="00C604A2"/>
    <w:rsid w:val="00C616F2"/>
    <w:rsid w:val="00C671AF"/>
    <w:rsid w:val="00CB095F"/>
    <w:rsid w:val="00CB2F59"/>
    <w:rsid w:val="00CC54B2"/>
    <w:rsid w:val="00D15DEB"/>
    <w:rsid w:val="00D21046"/>
    <w:rsid w:val="00D22DEC"/>
    <w:rsid w:val="00D24BC4"/>
    <w:rsid w:val="00D34B5B"/>
    <w:rsid w:val="00D35F00"/>
    <w:rsid w:val="00D55C79"/>
    <w:rsid w:val="00D563CE"/>
    <w:rsid w:val="00D6270B"/>
    <w:rsid w:val="00D76B83"/>
    <w:rsid w:val="00D83B26"/>
    <w:rsid w:val="00D8794C"/>
    <w:rsid w:val="00D91BD3"/>
    <w:rsid w:val="00DA2EB8"/>
    <w:rsid w:val="00DA544C"/>
    <w:rsid w:val="00DA7D4D"/>
    <w:rsid w:val="00DB3AEA"/>
    <w:rsid w:val="00DB607D"/>
    <w:rsid w:val="00E42206"/>
    <w:rsid w:val="00E43F05"/>
    <w:rsid w:val="00E62B85"/>
    <w:rsid w:val="00E755AC"/>
    <w:rsid w:val="00E97B08"/>
    <w:rsid w:val="00EC3F5E"/>
    <w:rsid w:val="00ED744C"/>
    <w:rsid w:val="00EF1F09"/>
    <w:rsid w:val="00EF3504"/>
    <w:rsid w:val="00F53CD4"/>
    <w:rsid w:val="00FC02BE"/>
    <w:rsid w:val="02E141AB"/>
    <w:rsid w:val="08179777"/>
    <w:rsid w:val="13750A5F"/>
    <w:rsid w:val="1D02C448"/>
    <w:rsid w:val="321D4E79"/>
    <w:rsid w:val="3BAB0862"/>
    <w:rsid w:val="3EE2A924"/>
    <w:rsid w:val="568FBF53"/>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F60E69"/>
  <w15:chartTrackingRefBased/>
  <w15:docId w15:val="{EB211843-FE10-F143-B347-29DA3D025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568FBF53"/>
  </w:style>
  <w:style w:type="paragraph" w:styleId="Heading1">
    <w:name w:val="heading 1"/>
    <w:basedOn w:val="Normal"/>
    <w:next w:val="Normal"/>
    <w:link w:val="Heading1Char"/>
    <w:uiPriority w:val="9"/>
    <w:qFormat/>
    <w:rsid w:val="568FBF53"/>
    <w:pPr>
      <w:spacing w:after="360"/>
      <w:outlineLvl w:val="0"/>
    </w:pPr>
    <w:rPr>
      <w:b/>
      <w:bCs/>
      <w:color w:val="194869" w:themeColor="accent1"/>
      <w:sz w:val="44"/>
      <w:szCs w:val="44"/>
    </w:rPr>
  </w:style>
  <w:style w:type="paragraph" w:styleId="Heading2">
    <w:name w:val="heading 2"/>
    <w:basedOn w:val="Normal"/>
    <w:next w:val="Normal"/>
    <w:link w:val="Heading2Char"/>
    <w:uiPriority w:val="9"/>
    <w:unhideWhenUsed/>
    <w:qFormat/>
    <w:rsid w:val="568FBF53"/>
    <w:pPr>
      <w:spacing w:before="240" w:after="120"/>
      <w:outlineLvl w:val="1"/>
    </w:pPr>
    <w:rPr>
      <w:b/>
      <w:bCs/>
      <w:color w:val="20A6CA" w:themeColor="accent2"/>
      <w:sz w:val="36"/>
      <w:szCs w:val="36"/>
    </w:rPr>
  </w:style>
  <w:style w:type="paragraph" w:styleId="Heading3">
    <w:name w:val="heading 3"/>
    <w:basedOn w:val="Normal"/>
    <w:next w:val="Normal"/>
    <w:link w:val="Heading3Char"/>
    <w:uiPriority w:val="9"/>
    <w:unhideWhenUsed/>
    <w:qFormat/>
    <w:rsid w:val="568FBF53"/>
    <w:pPr>
      <w:keepNext/>
      <w:keepLines/>
      <w:spacing w:before="40"/>
      <w:outlineLvl w:val="2"/>
    </w:pPr>
    <w:rPr>
      <w:rFonts w:asciiTheme="majorHAnsi" w:eastAsiaTheme="majorEastAsia" w:hAnsiTheme="majorHAnsi" w:cstheme="majorBidi"/>
      <w:color w:val="0C2334" w:themeColor="accent1" w:themeShade="80"/>
    </w:rPr>
  </w:style>
  <w:style w:type="paragraph" w:styleId="Heading4">
    <w:name w:val="heading 4"/>
    <w:basedOn w:val="Normal"/>
    <w:next w:val="Normal"/>
    <w:link w:val="Heading4Char"/>
    <w:uiPriority w:val="9"/>
    <w:unhideWhenUsed/>
    <w:qFormat/>
    <w:rsid w:val="568FBF53"/>
    <w:pPr>
      <w:keepNext/>
      <w:keepLines/>
      <w:spacing w:before="40"/>
      <w:outlineLvl w:val="3"/>
    </w:pPr>
    <w:rPr>
      <w:rFonts w:asciiTheme="majorHAnsi" w:eastAsiaTheme="majorEastAsia" w:hAnsiTheme="majorHAnsi" w:cstheme="majorBidi"/>
      <w:i/>
      <w:iCs/>
      <w:color w:val="12354E" w:themeColor="accent1" w:themeShade="BF"/>
    </w:rPr>
  </w:style>
  <w:style w:type="paragraph" w:styleId="Heading5">
    <w:name w:val="heading 5"/>
    <w:basedOn w:val="Normal"/>
    <w:next w:val="Normal"/>
    <w:link w:val="Heading5Char"/>
    <w:uiPriority w:val="9"/>
    <w:unhideWhenUsed/>
    <w:qFormat/>
    <w:rsid w:val="568FBF53"/>
    <w:pPr>
      <w:keepNext/>
      <w:keepLines/>
      <w:spacing w:before="40"/>
      <w:outlineLvl w:val="4"/>
    </w:pPr>
    <w:rPr>
      <w:rFonts w:asciiTheme="majorHAnsi" w:eastAsiaTheme="majorEastAsia" w:hAnsiTheme="majorHAnsi" w:cstheme="majorBidi"/>
      <w:color w:val="12354E" w:themeColor="accent1" w:themeShade="BF"/>
    </w:rPr>
  </w:style>
  <w:style w:type="paragraph" w:styleId="Heading6">
    <w:name w:val="heading 6"/>
    <w:basedOn w:val="Normal"/>
    <w:next w:val="Normal"/>
    <w:link w:val="Heading6Char"/>
    <w:uiPriority w:val="9"/>
    <w:unhideWhenUsed/>
    <w:qFormat/>
    <w:rsid w:val="568FBF53"/>
    <w:pPr>
      <w:keepNext/>
      <w:keepLines/>
      <w:spacing w:before="40"/>
      <w:outlineLvl w:val="5"/>
    </w:pPr>
    <w:rPr>
      <w:rFonts w:asciiTheme="majorHAnsi" w:eastAsiaTheme="majorEastAsia" w:hAnsiTheme="majorHAnsi" w:cstheme="majorBidi"/>
      <w:color w:val="0C2334" w:themeColor="accent1" w:themeShade="80"/>
    </w:rPr>
  </w:style>
  <w:style w:type="paragraph" w:styleId="Heading7">
    <w:name w:val="heading 7"/>
    <w:basedOn w:val="Normal"/>
    <w:next w:val="Normal"/>
    <w:link w:val="Heading7Char"/>
    <w:uiPriority w:val="9"/>
    <w:unhideWhenUsed/>
    <w:qFormat/>
    <w:rsid w:val="568FBF53"/>
    <w:pPr>
      <w:keepNext/>
      <w:keepLines/>
      <w:spacing w:before="40"/>
      <w:outlineLvl w:val="6"/>
    </w:pPr>
    <w:rPr>
      <w:rFonts w:asciiTheme="majorHAnsi" w:eastAsiaTheme="majorEastAsia" w:hAnsiTheme="majorHAnsi" w:cstheme="majorBidi"/>
      <w:i/>
      <w:iCs/>
      <w:color w:val="0C2334" w:themeColor="accent1" w:themeShade="80"/>
    </w:rPr>
  </w:style>
  <w:style w:type="paragraph" w:styleId="Heading8">
    <w:name w:val="heading 8"/>
    <w:basedOn w:val="Normal"/>
    <w:next w:val="Normal"/>
    <w:link w:val="Heading8Char"/>
    <w:uiPriority w:val="9"/>
    <w:unhideWhenUsed/>
    <w:qFormat/>
    <w:rsid w:val="568FBF53"/>
    <w:pPr>
      <w:keepNext/>
      <w:keepLines/>
      <w:spacing w:before="40"/>
      <w:outlineLvl w:val="7"/>
    </w:pPr>
    <w:rPr>
      <w:rFonts w:asciiTheme="majorHAnsi" w:eastAsiaTheme="majorEastAsia" w:hAnsiTheme="majorHAnsi" w:cstheme="majorBidi"/>
      <w:color w:val="272727"/>
      <w:sz w:val="21"/>
      <w:szCs w:val="21"/>
    </w:rPr>
  </w:style>
  <w:style w:type="paragraph" w:styleId="Heading9">
    <w:name w:val="heading 9"/>
    <w:basedOn w:val="Normal"/>
    <w:next w:val="Normal"/>
    <w:link w:val="Heading9Char"/>
    <w:uiPriority w:val="9"/>
    <w:unhideWhenUsed/>
    <w:qFormat/>
    <w:rsid w:val="568FBF53"/>
    <w:pPr>
      <w:keepNext/>
      <w:keepLines/>
      <w:spacing w:before="40"/>
      <w:outlineLvl w:val="8"/>
    </w:pPr>
    <w:rPr>
      <w:rFonts w:asciiTheme="majorHAnsi" w:eastAsiaTheme="majorEastAsia" w:hAnsiTheme="majorHAnsi" w:cstheme="majorBidi"/>
      <w:i/>
      <w:iCs/>
      <w:color w:val="272727"/>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568FBF53"/>
    <w:pPr>
      <w:tabs>
        <w:tab w:val="center" w:pos="4513"/>
        <w:tab w:val="right" w:pos="9026"/>
      </w:tabs>
    </w:pPr>
  </w:style>
  <w:style w:type="character" w:customStyle="1" w:styleId="HeaderChar">
    <w:name w:val="Header Char"/>
    <w:basedOn w:val="DefaultParagraphFont"/>
    <w:link w:val="Header"/>
    <w:uiPriority w:val="99"/>
    <w:rsid w:val="568FBF53"/>
    <w:rPr>
      <w:noProof w:val="0"/>
      <w:lang w:val="en-GB"/>
    </w:rPr>
  </w:style>
  <w:style w:type="paragraph" w:styleId="Footer">
    <w:name w:val="footer"/>
    <w:basedOn w:val="Normal"/>
    <w:link w:val="FooterChar"/>
    <w:uiPriority w:val="99"/>
    <w:unhideWhenUsed/>
    <w:rsid w:val="568FBF53"/>
    <w:pPr>
      <w:tabs>
        <w:tab w:val="center" w:pos="4513"/>
        <w:tab w:val="right" w:pos="9026"/>
      </w:tabs>
    </w:pPr>
  </w:style>
  <w:style w:type="character" w:customStyle="1" w:styleId="FooterChar">
    <w:name w:val="Footer Char"/>
    <w:basedOn w:val="DefaultParagraphFont"/>
    <w:link w:val="Footer"/>
    <w:uiPriority w:val="99"/>
    <w:rsid w:val="568FBF53"/>
    <w:rPr>
      <w:noProof w:val="0"/>
      <w:lang w:val="en-GB"/>
    </w:rPr>
  </w:style>
  <w:style w:type="paragraph" w:styleId="ListParagraph">
    <w:name w:val="List Paragraph"/>
    <w:basedOn w:val="Normal"/>
    <w:uiPriority w:val="34"/>
    <w:qFormat/>
    <w:rsid w:val="568FBF53"/>
    <w:pPr>
      <w:numPr>
        <w:numId w:val="2"/>
      </w:numPr>
      <w:spacing w:after="240"/>
      <w:ind w:left="714" w:hanging="357"/>
      <w:contextualSpacing/>
    </w:pPr>
    <w:rPr>
      <w:color w:val="12354E" w:themeColor="accent1" w:themeShade="BF"/>
      <w:lang w:val="fr-FR"/>
    </w:rPr>
  </w:style>
  <w:style w:type="character" w:customStyle="1" w:styleId="Heading1Char">
    <w:name w:val="Heading 1 Char"/>
    <w:basedOn w:val="DefaultParagraphFont"/>
    <w:link w:val="Heading1"/>
    <w:uiPriority w:val="9"/>
    <w:rsid w:val="568FBF53"/>
    <w:rPr>
      <w:b/>
      <w:bCs/>
      <w:noProof w:val="0"/>
      <w:color w:val="194869" w:themeColor="accent1"/>
      <w:sz w:val="44"/>
      <w:szCs w:val="44"/>
      <w:lang w:val="en-GB"/>
    </w:rPr>
  </w:style>
  <w:style w:type="character" w:customStyle="1" w:styleId="Heading2Char">
    <w:name w:val="Heading 2 Char"/>
    <w:basedOn w:val="DefaultParagraphFont"/>
    <w:link w:val="Heading2"/>
    <w:uiPriority w:val="9"/>
    <w:rsid w:val="568FBF53"/>
    <w:rPr>
      <w:b/>
      <w:bCs/>
      <w:noProof w:val="0"/>
      <w:color w:val="20A6CA" w:themeColor="accent2"/>
      <w:sz w:val="36"/>
      <w:szCs w:val="36"/>
      <w:lang w:val="en-GB"/>
    </w:rPr>
  </w:style>
  <w:style w:type="paragraph" w:customStyle="1" w:styleId="Boxtitle">
    <w:name w:val="Box title"/>
    <w:basedOn w:val="Normal"/>
    <w:uiPriority w:val="1"/>
    <w:qFormat/>
    <w:rsid w:val="568FBF53"/>
    <w:rPr>
      <w:b/>
      <w:bCs/>
      <w:color w:val="4EB3B9" w:themeColor="accent4"/>
      <w:sz w:val="32"/>
      <w:szCs w:val="32"/>
    </w:rPr>
  </w:style>
  <w:style w:type="paragraph" w:customStyle="1" w:styleId="Body">
    <w:name w:val="Body"/>
    <w:basedOn w:val="Normal"/>
    <w:uiPriority w:val="1"/>
    <w:qFormat/>
    <w:rsid w:val="568FBF53"/>
    <w:pPr>
      <w:spacing w:after="240"/>
    </w:pPr>
    <w:rPr>
      <w:color w:val="12354E" w:themeColor="accent1" w:themeShade="BF"/>
      <w:lang w:val="fr-FR"/>
    </w:rPr>
  </w:style>
  <w:style w:type="paragraph" w:customStyle="1" w:styleId="Boxtext">
    <w:name w:val="Box text"/>
    <w:basedOn w:val="Normal"/>
    <w:uiPriority w:val="1"/>
    <w:qFormat/>
    <w:rsid w:val="568FBF53"/>
    <w:rPr>
      <w:color w:val="44546A" w:themeColor="text2"/>
      <w:lang w:val="fr-FR"/>
    </w:rPr>
  </w:style>
  <w:style w:type="paragraph" w:customStyle="1" w:styleId="Figure-TableHeading">
    <w:name w:val="Figure-Table Heading"/>
    <w:basedOn w:val="Normal"/>
    <w:uiPriority w:val="1"/>
    <w:qFormat/>
    <w:rsid w:val="568FBF53"/>
    <w:pPr>
      <w:spacing w:after="240"/>
    </w:pPr>
    <w:rPr>
      <w:b/>
      <w:bCs/>
      <w:color w:val="4EB3B9" w:themeColor="accent4"/>
    </w:rPr>
  </w:style>
  <w:style w:type="paragraph" w:customStyle="1" w:styleId="Header3">
    <w:name w:val="Header 3"/>
    <w:basedOn w:val="Body"/>
    <w:uiPriority w:val="1"/>
    <w:qFormat/>
    <w:rsid w:val="568FBF53"/>
    <w:pPr>
      <w:spacing w:after="60"/>
    </w:pPr>
    <w:rPr>
      <w:b/>
      <w:bCs/>
      <w:color w:val="F39371" w:themeColor="accent6"/>
      <w:sz w:val="28"/>
      <w:szCs w:val="28"/>
    </w:rPr>
  </w:style>
  <w:style w:type="table" w:styleId="TableGrid">
    <w:name w:val="Table Grid"/>
    <w:basedOn w:val="TableNormal"/>
    <w:uiPriority w:val="59"/>
    <w:rsid w:val="00244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WRMhyperlinks">
    <w:name w:val="IWRM hyperlinks"/>
    <w:basedOn w:val="DefaultParagraphFont"/>
    <w:uiPriority w:val="1"/>
    <w:qFormat/>
    <w:rsid w:val="007F2931"/>
    <w:rPr>
      <w:rFonts w:cs="Times New Roman (Body CS)"/>
      <w:u w:val="single" w:color="4EB3B9" w:themeColor="accent4"/>
      <w:lang w:val="en-GB"/>
    </w:rPr>
  </w:style>
  <w:style w:type="character" w:customStyle="1" w:styleId="Bold">
    <w:name w:val="Bold"/>
    <w:basedOn w:val="DefaultParagraphFont"/>
    <w:uiPriority w:val="1"/>
    <w:qFormat/>
    <w:rsid w:val="007F2931"/>
    <w:rPr>
      <w:b/>
      <w:bCs/>
    </w:rPr>
  </w:style>
  <w:style w:type="character" w:customStyle="1" w:styleId="Italics">
    <w:name w:val="Italics"/>
    <w:basedOn w:val="DefaultParagraphFont"/>
    <w:uiPriority w:val="1"/>
    <w:qFormat/>
    <w:rsid w:val="007F2931"/>
    <w:rPr>
      <w:i/>
      <w:iCs/>
    </w:rPr>
  </w:style>
  <w:style w:type="character" w:styleId="Hyperlink">
    <w:name w:val="Hyperlink"/>
    <w:basedOn w:val="DefaultParagraphFont"/>
    <w:uiPriority w:val="99"/>
    <w:unhideWhenUsed/>
    <w:rsid w:val="004646E9"/>
    <w:rPr>
      <w:color w:val="8EC044" w:themeColor="hyperlink"/>
      <w:u w:val="single"/>
    </w:rPr>
  </w:style>
  <w:style w:type="paragraph" w:styleId="Subtitle">
    <w:name w:val="Subtitle"/>
    <w:basedOn w:val="Normal"/>
    <w:next w:val="Normal"/>
    <w:link w:val="SubtitleChar"/>
    <w:uiPriority w:val="11"/>
    <w:qFormat/>
    <w:rsid w:val="568FBF53"/>
    <w:pPr>
      <w:spacing w:after="1000" w:line="276" w:lineRule="auto"/>
    </w:pPr>
    <w:rPr>
      <w:rFonts w:eastAsiaTheme="minorEastAsia"/>
      <w:smallCaps/>
      <w:color w:val="595959" w:themeColor="text1" w:themeTint="A6"/>
      <w:lang w:bidi="en-US"/>
    </w:rPr>
  </w:style>
  <w:style w:type="character" w:customStyle="1" w:styleId="SubtitleChar">
    <w:name w:val="Subtitle Char"/>
    <w:basedOn w:val="DefaultParagraphFont"/>
    <w:link w:val="Subtitle"/>
    <w:uiPriority w:val="11"/>
    <w:rsid w:val="568FBF53"/>
    <w:rPr>
      <w:rFonts w:asciiTheme="minorHAnsi" w:eastAsiaTheme="minorEastAsia" w:hAnsiTheme="minorHAnsi" w:cstheme="minorBidi"/>
      <w:smallCaps/>
      <w:noProof w:val="0"/>
      <w:color w:val="595959" w:themeColor="text1" w:themeTint="A6"/>
      <w:lang w:val="en-GB" w:bidi="en-US"/>
    </w:rPr>
  </w:style>
  <w:style w:type="paragraph" w:styleId="FootnoteText">
    <w:name w:val="footnote text"/>
    <w:basedOn w:val="Normal"/>
    <w:link w:val="FootnoteTextChar"/>
    <w:uiPriority w:val="99"/>
    <w:unhideWhenUsed/>
    <w:rsid w:val="568FBF53"/>
    <w:pPr>
      <w:spacing w:line="276" w:lineRule="auto"/>
    </w:pPr>
    <w:rPr>
      <w:rFonts w:eastAsiaTheme="minorEastAsia"/>
      <w:lang w:bidi="en-US"/>
    </w:rPr>
  </w:style>
  <w:style w:type="character" w:customStyle="1" w:styleId="FootnoteTextChar">
    <w:name w:val="Footnote Text Char"/>
    <w:basedOn w:val="DefaultParagraphFont"/>
    <w:link w:val="FootnoteText"/>
    <w:uiPriority w:val="99"/>
    <w:rsid w:val="568FBF53"/>
    <w:rPr>
      <w:rFonts w:asciiTheme="minorHAnsi" w:eastAsiaTheme="minorEastAsia" w:hAnsiTheme="minorHAnsi" w:cstheme="minorBidi"/>
      <w:noProof w:val="0"/>
      <w:lang w:val="en-GB" w:bidi="en-US"/>
    </w:rPr>
  </w:style>
  <w:style w:type="character" w:styleId="FootnoteReference">
    <w:name w:val="footnote reference"/>
    <w:basedOn w:val="DefaultParagraphFont"/>
    <w:uiPriority w:val="99"/>
    <w:unhideWhenUsed/>
    <w:rsid w:val="00970943"/>
    <w:rPr>
      <w:vertAlign w:val="superscript"/>
    </w:rPr>
  </w:style>
  <w:style w:type="character" w:customStyle="1" w:styleId="normaltextrun">
    <w:name w:val="normaltextrun"/>
    <w:basedOn w:val="DefaultParagraphFont"/>
    <w:rsid w:val="00970943"/>
  </w:style>
  <w:style w:type="character" w:styleId="CommentReference">
    <w:name w:val="annotation reference"/>
    <w:basedOn w:val="DefaultParagraphFont"/>
    <w:uiPriority w:val="99"/>
    <w:semiHidden/>
    <w:unhideWhenUsed/>
    <w:rsid w:val="00970943"/>
    <w:rPr>
      <w:sz w:val="18"/>
      <w:szCs w:val="18"/>
    </w:rPr>
  </w:style>
  <w:style w:type="paragraph" w:styleId="CommentText">
    <w:name w:val="annotation text"/>
    <w:basedOn w:val="Normal"/>
    <w:link w:val="CommentTextChar"/>
    <w:uiPriority w:val="99"/>
    <w:unhideWhenUsed/>
    <w:rsid w:val="568FBF53"/>
    <w:pPr>
      <w:spacing w:after="120" w:line="276" w:lineRule="auto"/>
    </w:pPr>
    <w:rPr>
      <w:rFonts w:eastAsiaTheme="minorEastAsia"/>
      <w:lang w:bidi="en-US"/>
    </w:rPr>
  </w:style>
  <w:style w:type="character" w:customStyle="1" w:styleId="CommentTextChar">
    <w:name w:val="Comment Text Char"/>
    <w:basedOn w:val="DefaultParagraphFont"/>
    <w:link w:val="CommentText"/>
    <w:uiPriority w:val="99"/>
    <w:rsid w:val="568FBF53"/>
    <w:rPr>
      <w:rFonts w:asciiTheme="minorHAnsi" w:eastAsiaTheme="minorEastAsia" w:hAnsiTheme="minorHAnsi" w:cstheme="minorBidi"/>
      <w:noProof w:val="0"/>
      <w:lang w:val="en-GB" w:bidi="en-US"/>
    </w:rPr>
  </w:style>
  <w:style w:type="character" w:styleId="FollowedHyperlink">
    <w:name w:val="FollowedHyperlink"/>
    <w:basedOn w:val="DefaultParagraphFont"/>
    <w:uiPriority w:val="99"/>
    <w:semiHidden/>
    <w:unhideWhenUsed/>
    <w:rsid w:val="005550D4"/>
    <w:rPr>
      <w:color w:val="02615B" w:themeColor="followedHyperlink"/>
      <w:u w:val="single"/>
    </w:rPr>
  </w:style>
  <w:style w:type="paragraph" w:styleId="CommentSubject">
    <w:name w:val="annotation subject"/>
    <w:basedOn w:val="CommentText"/>
    <w:next w:val="CommentText"/>
    <w:link w:val="CommentSubjectChar"/>
    <w:uiPriority w:val="99"/>
    <w:semiHidden/>
    <w:unhideWhenUsed/>
    <w:rsid w:val="568FBF53"/>
    <w:pPr>
      <w:spacing w:after="0"/>
    </w:pPr>
    <w:rPr>
      <w:b/>
      <w:bCs/>
      <w:sz w:val="20"/>
      <w:szCs w:val="20"/>
      <w:lang w:bidi="ar-SA"/>
    </w:rPr>
  </w:style>
  <w:style w:type="character" w:customStyle="1" w:styleId="CommentSubjectChar">
    <w:name w:val="Comment Subject Char"/>
    <w:basedOn w:val="CommentTextChar"/>
    <w:link w:val="CommentSubject"/>
    <w:uiPriority w:val="99"/>
    <w:semiHidden/>
    <w:rsid w:val="568FBF53"/>
    <w:rPr>
      <w:rFonts w:asciiTheme="minorHAnsi" w:eastAsiaTheme="minorEastAsia" w:hAnsiTheme="minorHAnsi" w:cstheme="minorBidi"/>
      <w:b/>
      <w:bCs/>
      <w:noProof w:val="0"/>
      <w:sz w:val="20"/>
      <w:szCs w:val="20"/>
      <w:lang w:val="en-GB" w:bidi="en-US"/>
    </w:rPr>
  </w:style>
  <w:style w:type="paragraph" w:styleId="BalloonText">
    <w:name w:val="Balloon Text"/>
    <w:basedOn w:val="Normal"/>
    <w:link w:val="BalloonTextChar"/>
    <w:uiPriority w:val="99"/>
    <w:semiHidden/>
    <w:unhideWhenUsed/>
    <w:rsid w:val="568FBF53"/>
    <w:rPr>
      <w:rFonts w:ascii="Segoe UI" w:eastAsiaTheme="minorEastAsia" w:hAnsi="Segoe UI" w:cs="Segoe UI"/>
      <w:sz w:val="18"/>
      <w:szCs w:val="18"/>
    </w:rPr>
  </w:style>
  <w:style w:type="character" w:customStyle="1" w:styleId="BalloonTextChar">
    <w:name w:val="Balloon Text Char"/>
    <w:basedOn w:val="DefaultParagraphFont"/>
    <w:link w:val="BalloonText"/>
    <w:uiPriority w:val="99"/>
    <w:semiHidden/>
    <w:rsid w:val="568FBF53"/>
    <w:rPr>
      <w:rFonts w:ascii="Segoe UI" w:eastAsiaTheme="minorEastAsia" w:hAnsi="Segoe UI" w:cs="Segoe UI"/>
      <w:noProof w:val="0"/>
      <w:sz w:val="18"/>
      <w:szCs w:val="18"/>
      <w:lang w:val="en-GB"/>
    </w:rPr>
  </w:style>
  <w:style w:type="table" w:styleId="TableGridLight">
    <w:name w:val="Grid Table Light"/>
    <w:basedOn w:val="TableNormal"/>
    <w:uiPriority w:val="40"/>
    <w:rsid w:val="003E6826"/>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UnresolvedMention">
    <w:name w:val="Unresolved Mention"/>
    <w:basedOn w:val="DefaultParagraphFont"/>
    <w:uiPriority w:val="99"/>
    <w:semiHidden/>
    <w:unhideWhenUsed/>
    <w:rsid w:val="00795FFC"/>
    <w:rPr>
      <w:color w:val="605E5C"/>
      <w:shd w:val="clear" w:color="auto" w:fill="E1DFDD"/>
    </w:rPr>
  </w:style>
  <w:style w:type="paragraph" w:styleId="Title">
    <w:name w:val="Title"/>
    <w:basedOn w:val="Normal"/>
    <w:next w:val="Normal"/>
    <w:link w:val="TitleChar"/>
    <w:uiPriority w:val="10"/>
    <w:qFormat/>
    <w:rsid w:val="568FBF53"/>
    <w:pPr>
      <w:contextualSpacing/>
    </w:pPr>
    <w:rPr>
      <w:rFonts w:asciiTheme="majorHAnsi" w:eastAsiaTheme="majorEastAsia" w:hAnsiTheme="majorHAnsi" w:cstheme="majorBidi"/>
      <w:sz w:val="56"/>
      <w:szCs w:val="56"/>
    </w:rPr>
  </w:style>
  <w:style w:type="paragraph" w:styleId="Quote">
    <w:name w:val="Quote"/>
    <w:basedOn w:val="Normal"/>
    <w:next w:val="Normal"/>
    <w:link w:val="QuoteChar"/>
    <w:uiPriority w:val="29"/>
    <w:qFormat/>
    <w:rsid w:val="568FBF53"/>
    <w:pPr>
      <w:spacing w:before="200"/>
      <w:ind w:left="864" w:right="864"/>
      <w:jc w:val="center"/>
    </w:pPr>
    <w:rPr>
      <w:i/>
      <w:iCs/>
      <w:color w:val="404040" w:themeColor="text1" w:themeTint="BF"/>
    </w:rPr>
  </w:style>
  <w:style w:type="paragraph" w:styleId="IntenseQuote">
    <w:name w:val="Intense Quote"/>
    <w:basedOn w:val="Normal"/>
    <w:next w:val="Normal"/>
    <w:link w:val="IntenseQuoteChar"/>
    <w:uiPriority w:val="30"/>
    <w:qFormat/>
    <w:rsid w:val="568FBF53"/>
    <w:pPr>
      <w:spacing w:before="360" w:after="360"/>
      <w:ind w:left="864" w:right="864"/>
      <w:jc w:val="center"/>
    </w:pPr>
    <w:rPr>
      <w:i/>
      <w:iCs/>
      <w:color w:val="194869" w:themeColor="accent1"/>
    </w:rPr>
  </w:style>
  <w:style w:type="character" w:customStyle="1" w:styleId="Heading3Char">
    <w:name w:val="Heading 3 Char"/>
    <w:basedOn w:val="DefaultParagraphFont"/>
    <w:link w:val="Heading3"/>
    <w:uiPriority w:val="9"/>
    <w:rsid w:val="568FBF53"/>
    <w:rPr>
      <w:rFonts w:asciiTheme="majorHAnsi" w:eastAsiaTheme="majorEastAsia" w:hAnsiTheme="majorHAnsi" w:cstheme="majorBidi"/>
      <w:noProof w:val="0"/>
      <w:color w:val="0C2334" w:themeColor="accent1" w:themeShade="80"/>
      <w:sz w:val="24"/>
      <w:szCs w:val="24"/>
      <w:lang w:val="en-GB"/>
    </w:rPr>
  </w:style>
  <w:style w:type="character" w:customStyle="1" w:styleId="Heading4Char">
    <w:name w:val="Heading 4 Char"/>
    <w:basedOn w:val="DefaultParagraphFont"/>
    <w:link w:val="Heading4"/>
    <w:uiPriority w:val="9"/>
    <w:rsid w:val="568FBF53"/>
    <w:rPr>
      <w:rFonts w:asciiTheme="majorHAnsi" w:eastAsiaTheme="majorEastAsia" w:hAnsiTheme="majorHAnsi" w:cstheme="majorBidi"/>
      <w:i/>
      <w:iCs/>
      <w:noProof w:val="0"/>
      <w:color w:val="12354E" w:themeColor="accent1" w:themeShade="BF"/>
      <w:lang w:val="en-GB"/>
    </w:rPr>
  </w:style>
  <w:style w:type="character" w:customStyle="1" w:styleId="Heading5Char">
    <w:name w:val="Heading 5 Char"/>
    <w:basedOn w:val="DefaultParagraphFont"/>
    <w:link w:val="Heading5"/>
    <w:uiPriority w:val="9"/>
    <w:rsid w:val="568FBF53"/>
    <w:rPr>
      <w:rFonts w:asciiTheme="majorHAnsi" w:eastAsiaTheme="majorEastAsia" w:hAnsiTheme="majorHAnsi" w:cstheme="majorBidi"/>
      <w:noProof w:val="0"/>
      <w:color w:val="12354E" w:themeColor="accent1" w:themeShade="BF"/>
      <w:lang w:val="en-GB"/>
    </w:rPr>
  </w:style>
  <w:style w:type="character" w:customStyle="1" w:styleId="Heading6Char">
    <w:name w:val="Heading 6 Char"/>
    <w:basedOn w:val="DefaultParagraphFont"/>
    <w:link w:val="Heading6"/>
    <w:uiPriority w:val="9"/>
    <w:rsid w:val="568FBF53"/>
    <w:rPr>
      <w:rFonts w:asciiTheme="majorHAnsi" w:eastAsiaTheme="majorEastAsia" w:hAnsiTheme="majorHAnsi" w:cstheme="majorBidi"/>
      <w:noProof w:val="0"/>
      <w:color w:val="0C2334" w:themeColor="accent1" w:themeShade="80"/>
      <w:lang w:val="en-GB"/>
    </w:rPr>
  </w:style>
  <w:style w:type="character" w:customStyle="1" w:styleId="Heading7Char">
    <w:name w:val="Heading 7 Char"/>
    <w:basedOn w:val="DefaultParagraphFont"/>
    <w:link w:val="Heading7"/>
    <w:uiPriority w:val="9"/>
    <w:rsid w:val="568FBF53"/>
    <w:rPr>
      <w:rFonts w:asciiTheme="majorHAnsi" w:eastAsiaTheme="majorEastAsia" w:hAnsiTheme="majorHAnsi" w:cstheme="majorBidi"/>
      <w:i/>
      <w:iCs/>
      <w:noProof w:val="0"/>
      <w:color w:val="0C2334" w:themeColor="accent1" w:themeShade="80"/>
      <w:lang w:val="en-GB"/>
    </w:rPr>
  </w:style>
  <w:style w:type="character" w:customStyle="1" w:styleId="Heading8Char">
    <w:name w:val="Heading 8 Char"/>
    <w:basedOn w:val="DefaultParagraphFont"/>
    <w:link w:val="Heading8"/>
    <w:uiPriority w:val="9"/>
    <w:rsid w:val="568FBF53"/>
    <w:rPr>
      <w:rFonts w:asciiTheme="majorHAnsi" w:eastAsiaTheme="majorEastAsia" w:hAnsiTheme="majorHAnsi" w:cstheme="majorBidi"/>
      <w:noProof w:val="0"/>
      <w:color w:val="272727"/>
      <w:sz w:val="21"/>
      <w:szCs w:val="21"/>
      <w:lang w:val="en-GB"/>
    </w:rPr>
  </w:style>
  <w:style w:type="character" w:customStyle="1" w:styleId="Heading9Char">
    <w:name w:val="Heading 9 Char"/>
    <w:basedOn w:val="DefaultParagraphFont"/>
    <w:link w:val="Heading9"/>
    <w:uiPriority w:val="9"/>
    <w:rsid w:val="568FBF53"/>
    <w:rPr>
      <w:rFonts w:asciiTheme="majorHAnsi" w:eastAsiaTheme="majorEastAsia" w:hAnsiTheme="majorHAnsi" w:cstheme="majorBidi"/>
      <w:i/>
      <w:iCs/>
      <w:noProof w:val="0"/>
      <w:color w:val="272727"/>
      <w:sz w:val="21"/>
      <w:szCs w:val="21"/>
      <w:lang w:val="en-GB"/>
    </w:rPr>
  </w:style>
  <w:style w:type="character" w:customStyle="1" w:styleId="TitleChar">
    <w:name w:val="Title Char"/>
    <w:basedOn w:val="DefaultParagraphFont"/>
    <w:link w:val="Title"/>
    <w:uiPriority w:val="10"/>
    <w:rsid w:val="568FBF53"/>
    <w:rPr>
      <w:rFonts w:asciiTheme="majorHAnsi" w:eastAsiaTheme="majorEastAsia" w:hAnsiTheme="majorHAnsi" w:cstheme="majorBidi"/>
      <w:noProof w:val="0"/>
      <w:sz w:val="56"/>
      <w:szCs w:val="56"/>
      <w:lang w:val="en-GB"/>
    </w:rPr>
  </w:style>
  <w:style w:type="character" w:customStyle="1" w:styleId="QuoteChar">
    <w:name w:val="Quote Char"/>
    <w:basedOn w:val="DefaultParagraphFont"/>
    <w:link w:val="Quote"/>
    <w:uiPriority w:val="29"/>
    <w:rsid w:val="568FBF53"/>
    <w:rPr>
      <w:i/>
      <w:iCs/>
      <w:noProof w:val="0"/>
      <w:color w:val="404040" w:themeColor="text1" w:themeTint="BF"/>
      <w:lang w:val="en-GB"/>
    </w:rPr>
  </w:style>
  <w:style w:type="character" w:customStyle="1" w:styleId="IntenseQuoteChar">
    <w:name w:val="Intense Quote Char"/>
    <w:basedOn w:val="DefaultParagraphFont"/>
    <w:link w:val="IntenseQuote"/>
    <w:uiPriority w:val="30"/>
    <w:rsid w:val="568FBF53"/>
    <w:rPr>
      <w:i/>
      <w:iCs/>
      <w:noProof w:val="0"/>
      <w:color w:val="194869" w:themeColor="accent1"/>
      <w:lang w:val="en-GB"/>
    </w:rPr>
  </w:style>
  <w:style w:type="paragraph" w:styleId="TOC1">
    <w:name w:val="toc 1"/>
    <w:basedOn w:val="Normal"/>
    <w:next w:val="Normal"/>
    <w:uiPriority w:val="39"/>
    <w:unhideWhenUsed/>
    <w:rsid w:val="568FBF53"/>
    <w:pPr>
      <w:spacing w:after="100"/>
    </w:pPr>
  </w:style>
  <w:style w:type="paragraph" w:styleId="TOC2">
    <w:name w:val="toc 2"/>
    <w:basedOn w:val="Normal"/>
    <w:next w:val="Normal"/>
    <w:uiPriority w:val="39"/>
    <w:unhideWhenUsed/>
    <w:rsid w:val="568FBF53"/>
    <w:pPr>
      <w:spacing w:after="100"/>
      <w:ind w:left="220"/>
    </w:pPr>
  </w:style>
  <w:style w:type="paragraph" w:styleId="TOC3">
    <w:name w:val="toc 3"/>
    <w:basedOn w:val="Normal"/>
    <w:next w:val="Normal"/>
    <w:uiPriority w:val="39"/>
    <w:unhideWhenUsed/>
    <w:rsid w:val="568FBF53"/>
    <w:pPr>
      <w:spacing w:after="100"/>
      <w:ind w:left="440"/>
    </w:pPr>
  </w:style>
  <w:style w:type="paragraph" w:styleId="TOC4">
    <w:name w:val="toc 4"/>
    <w:basedOn w:val="Normal"/>
    <w:next w:val="Normal"/>
    <w:uiPriority w:val="39"/>
    <w:unhideWhenUsed/>
    <w:rsid w:val="568FBF53"/>
    <w:pPr>
      <w:spacing w:after="100"/>
      <w:ind w:left="660"/>
    </w:pPr>
  </w:style>
  <w:style w:type="paragraph" w:styleId="TOC5">
    <w:name w:val="toc 5"/>
    <w:basedOn w:val="Normal"/>
    <w:next w:val="Normal"/>
    <w:uiPriority w:val="39"/>
    <w:unhideWhenUsed/>
    <w:rsid w:val="568FBF53"/>
    <w:pPr>
      <w:spacing w:after="100"/>
      <w:ind w:left="880"/>
    </w:pPr>
  </w:style>
  <w:style w:type="paragraph" w:styleId="TOC6">
    <w:name w:val="toc 6"/>
    <w:basedOn w:val="Normal"/>
    <w:next w:val="Normal"/>
    <w:uiPriority w:val="39"/>
    <w:unhideWhenUsed/>
    <w:rsid w:val="568FBF53"/>
    <w:pPr>
      <w:spacing w:after="100"/>
      <w:ind w:left="1100"/>
    </w:pPr>
  </w:style>
  <w:style w:type="paragraph" w:styleId="TOC7">
    <w:name w:val="toc 7"/>
    <w:basedOn w:val="Normal"/>
    <w:next w:val="Normal"/>
    <w:uiPriority w:val="39"/>
    <w:unhideWhenUsed/>
    <w:rsid w:val="568FBF53"/>
    <w:pPr>
      <w:spacing w:after="100"/>
      <w:ind w:left="1320"/>
    </w:pPr>
  </w:style>
  <w:style w:type="paragraph" w:styleId="TOC8">
    <w:name w:val="toc 8"/>
    <w:basedOn w:val="Normal"/>
    <w:next w:val="Normal"/>
    <w:uiPriority w:val="39"/>
    <w:unhideWhenUsed/>
    <w:rsid w:val="568FBF53"/>
    <w:pPr>
      <w:spacing w:after="100"/>
      <w:ind w:left="1540"/>
    </w:pPr>
  </w:style>
  <w:style w:type="paragraph" w:styleId="TOC9">
    <w:name w:val="toc 9"/>
    <w:basedOn w:val="Normal"/>
    <w:next w:val="Normal"/>
    <w:uiPriority w:val="39"/>
    <w:unhideWhenUsed/>
    <w:rsid w:val="568FBF53"/>
    <w:pPr>
      <w:spacing w:after="100"/>
      <w:ind w:left="1760"/>
    </w:pPr>
  </w:style>
  <w:style w:type="paragraph" w:styleId="EndnoteText">
    <w:name w:val="endnote text"/>
    <w:basedOn w:val="Normal"/>
    <w:link w:val="EndnoteTextChar"/>
    <w:uiPriority w:val="99"/>
    <w:semiHidden/>
    <w:unhideWhenUsed/>
    <w:rsid w:val="568FBF53"/>
    <w:rPr>
      <w:sz w:val="20"/>
      <w:szCs w:val="20"/>
    </w:rPr>
  </w:style>
  <w:style w:type="character" w:customStyle="1" w:styleId="EndnoteTextChar">
    <w:name w:val="Endnote Text Char"/>
    <w:basedOn w:val="DefaultParagraphFont"/>
    <w:link w:val="EndnoteText"/>
    <w:uiPriority w:val="99"/>
    <w:semiHidden/>
    <w:rsid w:val="568FBF53"/>
    <w:rPr>
      <w:noProof w:val="0"/>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1259814">
      <w:bodyDiv w:val="1"/>
      <w:marLeft w:val="0"/>
      <w:marRight w:val="0"/>
      <w:marTop w:val="0"/>
      <w:marBottom w:val="0"/>
      <w:divBdr>
        <w:top w:val="none" w:sz="0" w:space="0" w:color="auto"/>
        <w:left w:val="none" w:sz="0" w:space="0" w:color="auto"/>
        <w:bottom w:val="none" w:sz="0" w:space="0" w:color="auto"/>
        <w:right w:val="none" w:sz="0" w:space="0" w:color="auto"/>
      </w:divBdr>
    </w:div>
    <w:div w:id="1372534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300"/>
</w:webSettings>
</file>

<file path=word/_rels/document.xml.rels><?xml version="1.0" encoding="UTF-8" standalone="yes"?>
<Relationships xmlns="http://schemas.openxmlformats.org/package/2006/relationships"><Relationship Id="rId26" Type="http://schemas.openxmlformats.org/officeDocument/2006/relationships/hyperlink" Target="http://iwrmdataportal.unepdhi.org/reportingmaterials" TargetMode="External"/><Relationship Id="rId21" Type="http://schemas.openxmlformats.org/officeDocument/2006/relationships/hyperlink" Target="https://www.unwater.org/our-work/integrated-monitoring-initiative-sdg-6" TargetMode="External"/><Relationship Id="rId34" Type="http://schemas.openxmlformats.org/officeDocument/2006/relationships/hyperlink" Target="http://iwrmdataportal.unepdhi.org/reportingmaterials" TargetMode="External"/><Relationship Id="rId42" Type="http://schemas.openxmlformats.org/officeDocument/2006/relationships/hyperlink" Target="https://www.youtube.com/playlist?list=PLPQBtot2gdlVBjDpmcQZX84x5cP5CdLKp" TargetMode="External"/><Relationship Id="rId47" Type="http://schemas.openxmlformats.org/officeDocument/2006/relationships/hyperlink" Target="http://iwrmdataportal.unepdhi.org/country-reports" TargetMode="External"/><Relationship Id="rId50" Type="http://schemas.openxmlformats.org/officeDocument/2006/relationships/hyperlink" Target="http://iwrmdataportal.unepdhi.org/reportingmaterials" TargetMode="External"/><Relationship Id="rId55" Type="http://schemas.openxmlformats.org/officeDocument/2006/relationships/hyperlink" Target="https://www.unesco.org/en/ihp/transboundary-water-cooperation-reporting" TargetMode="External"/><Relationship Id="rId63" Type="http://schemas.openxmlformats.org/officeDocument/2006/relationships/header" Target="header1.xml"/><Relationship Id="rId68"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mailto:iwrmsdg651@un.org" TargetMode="External"/><Relationship Id="rId29" Type="http://schemas.openxmlformats.org/officeDocument/2006/relationships/hyperlink" Target="http://iwrmdataportal.unepdhi.org/country-reports" TargetMode="External"/><Relationship Id="rId11" Type="http://schemas.openxmlformats.org/officeDocument/2006/relationships/image" Target="media/image1.png"/><Relationship Id="rId24" Type="http://schemas.openxmlformats.org/officeDocument/2006/relationships/hyperlink" Target="http://iwrmdataportal.unepdhi.org/reportingmaterials" TargetMode="External"/><Relationship Id="rId32" Type="http://schemas.openxmlformats.org/officeDocument/2006/relationships/hyperlink" Target="mailto:iwrmsdg651@un.org" TargetMode="External"/><Relationship Id="rId37" Type="http://schemas.openxmlformats.org/officeDocument/2006/relationships/hyperlink" Target="http://iwrmdataportal.unepdhi.org/country-reports" TargetMode="External"/><Relationship Id="rId40" Type="http://schemas.openxmlformats.org/officeDocument/2006/relationships/hyperlink" Target="https://www.gwp.org/en/sdg6support/sdgmap/" TargetMode="External"/><Relationship Id="rId45" Type="http://schemas.openxmlformats.org/officeDocument/2006/relationships/hyperlink" Target="http://iwrmdataportal.unepdhi.org/reportingmaterials" TargetMode="External"/><Relationship Id="rId53" Type="http://schemas.openxmlformats.org/officeDocument/2006/relationships/hyperlink" Target="https://cap-net.org/sdg-6-iwrm-support-program/" TargetMode="External"/><Relationship Id="rId58" Type="http://schemas.openxmlformats.org/officeDocument/2006/relationships/hyperlink" Target="https://sdgs.un.org/goals/goal5" TargetMode="External"/><Relationship Id="rId66" Type="http://schemas.openxmlformats.org/officeDocument/2006/relationships/footer" Target="footer2.xml"/><Relationship Id="rId5" Type="http://schemas.openxmlformats.org/officeDocument/2006/relationships/numbering" Target="numbering.xml"/><Relationship Id="rId61" Type="http://schemas.openxmlformats.org/officeDocument/2006/relationships/hyperlink" Target="https://www.sdg6monitoring.org/indicators/target-66/" TargetMode="External"/><Relationship Id="rId19" Type="http://schemas.openxmlformats.org/officeDocument/2006/relationships/hyperlink" Target="https://www.gwp.org/en/sdg6support/sdgmap/" TargetMode="External"/><Relationship Id="rId14" Type="http://schemas.openxmlformats.org/officeDocument/2006/relationships/hyperlink" Target="http://iwrmdataportal.unepdhi.org/reportingmaterials" TargetMode="External"/><Relationship Id="rId22" Type="http://schemas.openxmlformats.org/officeDocument/2006/relationships/hyperlink" Target="mailto:iwrmsdg651@un.org" TargetMode="External"/><Relationship Id="rId27" Type="http://schemas.openxmlformats.org/officeDocument/2006/relationships/hyperlink" Target="http://iwrmdataportal.unepdhi.org/reportingmaterials" TargetMode="External"/><Relationship Id="rId30" Type="http://schemas.openxmlformats.org/officeDocument/2006/relationships/hyperlink" Target="https://cap-net.org/sdg-6-iwrm-support-program/" TargetMode="External"/><Relationship Id="rId35" Type="http://schemas.openxmlformats.org/officeDocument/2006/relationships/hyperlink" Target="http://iwrmdataportal.unepdhi.org/" TargetMode="External"/><Relationship Id="rId43" Type="http://schemas.openxmlformats.org/officeDocument/2006/relationships/hyperlink" Target="http://iwrmdataportal.unepdhi.org/reportingmaterials" TargetMode="External"/><Relationship Id="rId48" Type="http://schemas.openxmlformats.org/officeDocument/2006/relationships/hyperlink" Target="http://iwrmdataportal.unepdhi.org/reportingmaterials" TargetMode="External"/><Relationship Id="rId56" Type="http://schemas.openxmlformats.org/officeDocument/2006/relationships/hyperlink" Target="https://www.sdg6monitoring.org/indicators/target-6b/" TargetMode="External"/><Relationship Id="rId64" Type="http://schemas.openxmlformats.org/officeDocument/2006/relationships/footer" Target="footer1.xml"/><Relationship Id="rId8" Type="http://schemas.openxmlformats.org/officeDocument/2006/relationships/webSettings" Target="webSettings.xml"/><Relationship Id="rId51" Type="http://schemas.openxmlformats.org/officeDocument/2006/relationships/hyperlink" Target="http://iwrmdataportal.unepdhi.org/reportingmaterials" TargetMode="External"/><Relationship Id="rId3" Type="http://schemas.openxmlformats.org/officeDocument/2006/relationships/customXml" Target="../customXml/item3.xml"/><Relationship Id="rId12" Type="http://schemas.openxmlformats.org/officeDocument/2006/relationships/hyperlink" Target="http://iwrmdataportal.unepdhi.org/reportingmaterials" TargetMode="External"/><Relationship Id="rId17" Type="http://schemas.openxmlformats.org/officeDocument/2006/relationships/hyperlink" Target="https://www.gwp.org/en/sdg6support/" TargetMode="External"/><Relationship Id="rId25" Type="http://schemas.openxmlformats.org/officeDocument/2006/relationships/hyperlink" Target="http://iwrmdataportal.unepdhi.org/reportingmaterials" TargetMode="External"/><Relationship Id="rId33" Type="http://schemas.openxmlformats.org/officeDocument/2006/relationships/hyperlink" Target="http://iwrmsdg651@un.org" TargetMode="External"/><Relationship Id="rId38" Type="http://schemas.openxmlformats.org/officeDocument/2006/relationships/hyperlink" Target="http://iwrmdataportal.unepdhi.org/country-reports" TargetMode="External"/><Relationship Id="rId46" Type="http://schemas.openxmlformats.org/officeDocument/2006/relationships/hyperlink" Target="http://iwrmdataportal.unepdhi.org/reportingmaterials" TargetMode="External"/><Relationship Id="rId59" Type="http://schemas.openxmlformats.org/officeDocument/2006/relationships/hyperlink" Target="https://www.sdg6monitoring.org/indicators/target-64/" TargetMode="External"/><Relationship Id="rId67" Type="http://schemas.openxmlformats.org/officeDocument/2006/relationships/fontTable" Target="fontTable.xml"/><Relationship Id="rId20" Type="http://schemas.openxmlformats.org/officeDocument/2006/relationships/hyperlink" Target="http://iwrmdataportal.unepdhi.org/country-reports" TargetMode="External"/><Relationship Id="rId41" Type="http://schemas.openxmlformats.org/officeDocument/2006/relationships/hyperlink" Target="https://www.gwp.org/en/sdg6support/consultations/where-we-are/sdg-6.5.1-regional-reports/" TargetMode="External"/><Relationship Id="rId54" Type="http://schemas.openxmlformats.org/officeDocument/2006/relationships/hyperlink" Target="mailto:sdg6iwrmsp@gwp.org" TargetMode="External"/><Relationship Id="rId62" Type="http://schemas.openxmlformats.org/officeDocument/2006/relationships/hyperlink" Target="https://www.preventionweb.net/sendai-framework/Integrated%20monitoring%20of%20the%20global%20targets%20of%20the%20Sendai%20Framework%20and%20the%20Sustainable%20Development%20Goals"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iwrmdataportal.unepdhi.org/reportingmaterials" TargetMode="External"/><Relationship Id="rId23" Type="http://schemas.openxmlformats.org/officeDocument/2006/relationships/hyperlink" Target="http://iwrmdataportal.unepdhi.org/reportingmaterials" TargetMode="External"/><Relationship Id="rId28" Type="http://schemas.openxmlformats.org/officeDocument/2006/relationships/hyperlink" Target="https://gwptoolbox.org/explore/iwrm-survey" TargetMode="External"/><Relationship Id="rId36" Type="http://schemas.openxmlformats.org/officeDocument/2006/relationships/hyperlink" Target="https://unstats.un.org/sdgs" TargetMode="External"/><Relationship Id="rId49" Type="http://schemas.openxmlformats.org/officeDocument/2006/relationships/hyperlink" Target="http://iwrmdataportal.unepdhi.org/reportingmaterials" TargetMode="External"/><Relationship Id="rId57" Type="http://schemas.openxmlformats.org/officeDocument/2006/relationships/hyperlink" Target="https://glaas.who.int/" TargetMode="External"/><Relationship Id="rId10" Type="http://schemas.openxmlformats.org/officeDocument/2006/relationships/endnotes" Target="endnotes.xml"/><Relationship Id="rId31" Type="http://schemas.openxmlformats.org/officeDocument/2006/relationships/hyperlink" Target="http://iwrmdataportal.unepdhi.org/reportingmaterials" TargetMode="External"/><Relationship Id="rId44" Type="http://schemas.openxmlformats.org/officeDocument/2006/relationships/hyperlink" Target="http://iwrmdataportal.unepdhi.org/reportingmaterials" TargetMode="External"/><Relationship Id="rId52" Type="http://schemas.openxmlformats.org/officeDocument/2006/relationships/hyperlink" Target="http://iwrmdataportal.unepdhi.org/reportingmaterials" TargetMode="External"/><Relationship Id="rId60" Type="http://schemas.openxmlformats.org/officeDocument/2006/relationships/hyperlink" Target="https://www.sdg6monitoring.org/indicators/target-63/" TargetMode="External"/><Relationship Id="rId65"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iwrmdataportal.unepdhi.org/reportingmaterials" TargetMode="External"/><Relationship Id="rId18" Type="http://schemas.openxmlformats.org/officeDocument/2006/relationships/hyperlink" Target="mailto:sdg6iwrmsp@gwp.org" TargetMode="External"/><Relationship Id="rId39" Type="http://schemas.openxmlformats.org/officeDocument/2006/relationships/hyperlink" Target="mailto:sdg6iwrmsp@gwp.org"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unstats.un.org/sdgs/metadat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IWRM Colors">
      <a:dk1>
        <a:srgbClr val="000000"/>
      </a:dk1>
      <a:lt1>
        <a:srgbClr val="FFFFFF"/>
      </a:lt1>
      <a:dk2>
        <a:srgbClr val="44546A"/>
      </a:dk2>
      <a:lt2>
        <a:srgbClr val="E7E6E6"/>
      </a:lt2>
      <a:accent1>
        <a:srgbClr val="194869"/>
      </a:accent1>
      <a:accent2>
        <a:srgbClr val="20A6CA"/>
      </a:accent2>
      <a:accent3>
        <a:srgbClr val="02A093"/>
      </a:accent3>
      <a:accent4>
        <a:srgbClr val="4EB3B9"/>
      </a:accent4>
      <a:accent5>
        <a:srgbClr val="F1883C"/>
      </a:accent5>
      <a:accent6>
        <a:srgbClr val="F39371"/>
      </a:accent6>
      <a:hlink>
        <a:srgbClr val="8EC044"/>
      </a:hlink>
      <a:folHlink>
        <a:srgbClr val="02615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8CF4632-9CF5-47B1-A26F-7507D86A2BD8}"/>
</file>

<file path=customXml/itemProps2.xml><?xml version="1.0" encoding="utf-8"?>
<ds:datastoreItem xmlns:ds="http://schemas.openxmlformats.org/officeDocument/2006/customXml" ds:itemID="{699AD4B9-EB4D-42B0-86D0-D4FCA36EB75C}">
  <ds:schemaRefs>
    <ds:schemaRef ds:uri="http://purl.org/dc/dcmitype/"/>
    <ds:schemaRef ds:uri="http://schemas.microsoft.com/office/2006/documentManagement/types"/>
    <ds:schemaRef ds:uri="http://schemas.openxmlformats.org/package/2006/metadata/core-properties"/>
    <ds:schemaRef ds:uri="73aa4948-b2bb-4bb6-a4ce-3dbfd67606c8"/>
    <ds:schemaRef ds:uri="http://purl.org/dc/elements/1.1/"/>
    <ds:schemaRef ds:uri="5e01a736-1b88-436b-a44b-5245e0be4ab3"/>
    <ds:schemaRef ds:uri="http://schemas.microsoft.com/office/infopath/2007/PartnerControls"/>
    <ds:schemaRef ds:uri="http://schemas.microsoft.com/office/2006/metadata/properties"/>
    <ds:schemaRef ds:uri="http://www.w3.org/XML/1998/namespace"/>
    <ds:schemaRef ds:uri="http://purl.org/dc/terms/"/>
  </ds:schemaRefs>
</ds:datastoreItem>
</file>

<file path=customXml/itemProps3.xml><?xml version="1.0" encoding="utf-8"?>
<ds:datastoreItem xmlns:ds="http://schemas.openxmlformats.org/officeDocument/2006/customXml" ds:itemID="{C586AB1F-7C52-4752-8B27-CCEA6581D662}">
  <ds:schemaRefs>
    <ds:schemaRef ds:uri="http://schemas.openxmlformats.org/officeDocument/2006/bibliography"/>
  </ds:schemaRefs>
</ds:datastoreItem>
</file>

<file path=customXml/itemProps4.xml><?xml version="1.0" encoding="utf-8"?>
<ds:datastoreItem xmlns:ds="http://schemas.openxmlformats.org/officeDocument/2006/customXml" ds:itemID="{3B3BAE21-D7A3-452A-A6A0-126F8D8DF3E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8</Pages>
  <Words>2432</Words>
  <Characters>13869</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Tariq Jowahir</dc:creator>
  <cp:keywords/>
  <dc:description/>
  <cp:lastModifiedBy>Maija Bertule</cp:lastModifiedBy>
  <cp:revision>3</cp:revision>
  <dcterms:created xsi:type="dcterms:W3CDTF">2023-04-11T09:05:00Z</dcterms:created>
  <dcterms:modified xsi:type="dcterms:W3CDTF">2023-04-11T09:06:00Z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y fmtid="{D5CDD505-2E9C-101B-9397-08002B2CF9AE}" pid="4" name="DHIAuthor">
    <vt:lpwstr/>
  </property>
  <property fmtid="{D5CDD505-2E9C-101B-9397-08002B2CF9AE}" pid="5" name="DHIArea">
    <vt:lpwstr/>
  </property>
  <property fmtid="{D5CDD505-2E9C-101B-9397-08002B2CF9AE}" pid="6" name="DHICategory">
    <vt:lpwstr/>
  </property>
  <property fmtid="{D5CDD505-2E9C-101B-9397-08002B2CF9AE}" pid="7" name="DHIKeywords">
    <vt:lpwstr/>
  </property>
</Properties>
</file>